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DA038A" w:rsidRPr="002E2344" w14:paraId="0D1DE2F5" w14:textId="77777777" w:rsidTr="00EE2B8C">
        <w:trPr>
          <w:cantSplit/>
        </w:trPr>
        <w:tc>
          <w:tcPr>
            <w:tcW w:w="4621" w:type="dxa"/>
          </w:tcPr>
          <w:p w14:paraId="441A4E75" w14:textId="2E7C5707" w:rsidR="00DA038A" w:rsidRPr="007805EF" w:rsidRDefault="0053291B" w:rsidP="00EE2B8C">
            <w:pPr>
              <w:jc w:val="left"/>
              <w:rPr>
                <w:bCs/>
                <w:sz w:val="32"/>
                <w:lang w:val="en-GB"/>
              </w:rPr>
            </w:pPr>
            <w:r w:rsidRPr="007805E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31A8AC1E" wp14:editId="33DCA1A3">
                      <wp:simplePos x="0" y="0"/>
                      <wp:positionH relativeFrom="page">
                        <wp:posOffset>6769100</wp:posOffset>
                      </wp:positionH>
                      <wp:positionV relativeFrom="page">
                        <wp:posOffset>10081260</wp:posOffset>
                      </wp:positionV>
                      <wp:extent cx="647700" cy="396240"/>
                      <wp:effectExtent l="0" t="0" r="0" b="381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D763C7" w14:textId="77777777" w:rsidR="00774A14" w:rsidRPr="00B33430" w:rsidRDefault="00774A14" w:rsidP="00DA03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</w:rPr>
                                  </w:pPr>
                                  <w:r w:rsidRPr="00B3343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</w:rPr>
                                    <w:t>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8AC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33pt;margin-top:793.8pt;width:51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CSDgsz8gEAAMUDAAAOAAAAAAAAAAAAAAAAAC4CAABkcnMv&#10;ZTJvRG9jLnhtbFBLAQItABQABgAIAAAAIQDrVDFa3gAAAA8BAAAPAAAAAAAAAAAAAAAAAEwEAABk&#10;cnMvZG93bnJldi54bWxQSwUGAAAAAAQABADzAAAAVwUAAAAA&#10;" o:allowincell="f" filled="f" stroked="f">
                      <v:textbox>
                        <w:txbxContent>
                          <w:p w14:paraId="41D763C7" w14:textId="77777777" w:rsidR="00774A14" w:rsidRPr="00B33430" w:rsidRDefault="00774A14" w:rsidP="00DA03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B33430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  <w:t>EN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A038A" w:rsidRPr="007805EF">
              <w:rPr>
                <w:bCs/>
                <w:noProof/>
                <w:sz w:val="32"/>
                <w:lang w:val="en-GB" w:eastAsia="en-GB"/>
              </w:rPr>
              <w:drawing>
                <wp:inline distT="0" distB="0" distL="0" distR="0" wp14:anchorId="1CA35333" wp14:editId="40BB8FCA">
                  <wp:extent cx="1800000" cy="1559336"/>
                  <wp:effectExtent l="0" t="0" r="0" b="3175"/>
                  <wp:docPr id="37" name="Picture 37" descr="C:\Users\mreg\Music\New LOGO\Logo\logo_CoR-vertical-positive-en-quadri_M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reg\Music\New LOGO\Logo\logo_CoR-vertical-positive-en-quadri_M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559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038A" w:rsidRPr="007805EF">
              <w:rPr>
                <w:b/>
                <w:bCs/>
                <w:noProof/>
                <w:sz w:val="32"/>
                <w:lang w:val="en-GB" w:eastAsia="en-GB"/>
              </w:rPr>
              <w:drawing>
                <wp:anchor distT="0" distB="0" distL="114300" distR="114300" simplePos="0" relativeHeight="251659264" behindDoc="0" locked="0" layoutInCell="0" allowOverlap="0" wp14:anchorId="7687FE10" wp14:editId="5A2AA92B">
                  <wp:simplePos x="0" y="0"/>
                  <wp:positionH relativeFrom="margin">
                    <wp:posOffset>0</wp:posOffset>
                  </wp:positionH>
                  <wp:positionV relativeFrom="margin">
                    <wp:posOffset>9343390</wp:posOffset>
                  </wp:positionV>
                  <wp:extent cx="5760000" cy="266400"/>
                  <wp:effectExtent l="0" t="0" r="0" b="635"/>
                  <wp:wrapNone/>
                  <wp:docPr id="6" name="Picture 6" descr="C:\Users\mreg\Music\_New CoR logo\New LOGO CoR\Address\CoR letterhead top banner - address FR-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reg\Music\_New CoR logo\New LOGO CoR\Address\CoR letterhead top banner - address FR-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2" w:type="dxa"/>
          </w:tcPr>
          <w:p w14:paraId="4040B2F3" w14:textId="77777777" w:rsidR="00DA038A" w:rsidRPr="007805EF" w:rsidRDefault="00DA038A" w:rsidP="00EE2B8C">
            <w:pPr>
              <w:jc w:val="center"/>
              <w:rPr>
                <w:bCs/>
                <w:sz w:val="32"/>
                <w:lang w:val="en-GB"/>
              </w:rPr>
            </w:pPr>
          </w:p>
        </w:tc>
      </w:tr>
      <w:tr w:rsidR="00DA038A" w:rsidRPr="002E2344" w14:paraId="4A8706B8" w14:textId="77777777" w:rsidTr="00EE2B8C">
        <w:trPr>
          <w:cantSplit/>
        </w:trPr>
        <w:tc>
          <w:tcPr>
            <w:tcW w:w="9243" w:type="dxa"/>
            <w:gridSpan w:val="2"/>
          </w:tcPr>
          <w:p w14:paraId="4E9879D7" w14:textId="6B63F54E" w:rsidR="00DA038A" w:rsidRPr="007805EF" w:rsidRDefault="00DA038A" w:rsidP="00E05D11">
            <w:pPr>
              <w:jc w:val="right"/>
              <w:rPr>
                <w:b/>
                <w:bCs/>
                <w:sz w:val="28"/>
                <w:lang w:val="en-GB"/>
              </w:rPr>
            </w:pPr>
            <w:r w:rsidRPr="007805EF">
              <w:rPr>
                <w:b/>
                <w:sz w:val="28"/>
                <w:lang w:val="en-GB"/>
              </w:rPr>
              <w:t>ENVE-VII/</w:t>
            </w:r>
            <w:r w:rsidR="008A0252" w:rsidRPr="007805EF">
              <w:rPr>
                <w:b/>
                <w:sz w:val="28"/>
                <w:lang w:val="en-GB"/>
              </w:rPr>
              <w:t>0</w:t>
            </w:r>
            <w:r w:rsidR="00063125" w:rsidRPr="007805EF">
              <w:rPr>
                <w:b/>
                <w:sz w:val="28"/>
                <w:lang w:val="en-GB"/>
              </w:rPr>
              <w:t>3</w:t>
            </w:r>
            <w:r w:rsidR="005A10F9" w:rsidRPr="007805EF">
              <w:rPr>
                <w:b/>
                <w:sz w:val="28"/>
                <w:lang w:val="en-GB"/>
              </w:rPr>
              <w:t>7</w:t>
            </w:r>
          </w:p>
        </w:tc>
      </w:tr>
      <w:tr w:rsidR="00DA038A" w:rsidRPr="002E2344" w14:paraId="4FCE7DB8" w14:textId="77777777" w:rsidTr="00EE2B8C">
        <w:tc>
          <w:tcPr>
            <w:tcW w:w="9243" w:type="dxa"/>
            <w:gridSpan w:val="2"/>
          </w:tcPr>
          <w:p w14:paraId="3919A3FA" w14:textId="77777777" w:rsidR="00DA038A" w:rsidRPr="007805EF" w:rsidRDefault="00DA038A" w:rsidP="00EE2B8C">
            <w:pPr>
              <w:ind w:left="-113"/>
              <w:rPr>
                <w:lang w:val="en-GB"/>
              </w:rPr>
            </w:pPr>
          </w:p>
          <w:p w14:paraId="79DCF692" w14:textId="77777777" w:rsidR="005B1739" w:rsidRPr="007805EF" w:rsidRDefault="005B1739" w:rsidP="008A0252">
            <w:pPr>
              <w:jc w:val="center"/>
              <w:rPr>
                <w:b/>
                <w:color w:val="000000" w:themeColor="text1"/>
                <w:sz w:val="28"/>
                <w:lang w:val="en-GB"/>
              </w:rPr>
            </w:pPr>
          </w:p>
          <w:p w14:paraId="27B46D36" w14:textId="1F27400D" w:rsidR="00DA038A" w:rsidRPr="007805EF" w:rsidRDefault="00C50877" w:rsidP="00C50877">
            <w:pPr>
              <w:jc w:val="center"/>
              <w:rPr>
                <w:b/>
                <w:bCs/>
                <w:sz w:val="28"/>
                <w:lang w:val="en-GB"/>
              </w:rPr>
            </w:pPr>
            <w:r w:rsidRPr="007805EF">
              <w:rPr>
                <w:b/>
                <w:color w:val="000000" w:themeColor="text1"/>
                <w:sz w:val="28"/>
                <w:lang w:val="en-GB"/>
              </w:rPr>
              <w:t>1</w:t>
            </w:r>
            <w:r w:rsidR="005A10F9" w:rsidRPr="007805EF">
              <w:rPr>
                <w:b/>
                <w:color w:val="000000" w:themeColor="text1"/>
                <w:sz w:val="28"/>
                <w:lang w:val="en-GB"/>
              </w:rPr>
              <w:t>7</w:t>
            </w:r>
            <w:r w:rsidR="00DA038A" w:rsidRPr="007805EF">
              <w:rPr>
                <w:b/>
                <w:color w:val="000000" w:themeColor="text1"/>
                <w:sz w:val="28"/>
                <w:lang w:val="en-GB"/>
              </w:rPr>
              <w:t xml:space="preserve">th ENVE commission meeting, </w:t>
            </w:r>
            <w:r w:rsidR="005A10F9" w:rsidRPr="007805EF">
              <w:rPr>
                <w:b/>
                <w:color w:val="000000" w:themeColor="text1"/>
                <w:sz w:val="28"/>
                <w:lang w:val="en-GB"/>
              </w:rPr>
              <w:t>10 May</w:t>
            </w:r>
            <w:r w:rsidR="003D3AA2" w:rsidRPr="007805EF">
              <w:rPr>
                <w:b/>
                <w:color w:val="000000" w:themeColor="text1"/>
                <w:sz w:val="28"/>
                <w:lang w:val="en-GB"/>
              </w:rPr>
              <w:t xml:space="preserve"> 2023</w:t>
            </w:r>
          </w:p>
        </w:tc>
      </w:tr>
    </w:tbl>
    <w:p w14:paraId="3FB9D229" w14:textId="568E5C6B" w:rsidR="00DA038A" w:rsidRPr="007805EF" w:rsidRDefault="00DA038A" w:rsidP="00DA038A">
      <w:pPr>
        <w:rPr>
          <w:lang w:val="en-GB"/>
        </w:rPr>
      </w:pPr>
    </w:p>
    <w:p w14:paraId="56C05253" w14:textId="77777777" w:rsidR="00DA038A" w:rsidRPr="007805EF" w:rsidRDefault="00DA038A" w:rsidP="00DA038A">
      <w:pPr>
        <w:rPr>
          <w:lang w:val="en-GB"/>
        </w:rPr>
      </w:pPr>
    </w:p>
    <w:p w14:paraId="2B23156B" w14:textId="443E3556" w:rsidR="00DA038A" w:rsidRPr="007805EF" w:rsidRDefault="007F0BF7" w:rsidP="00DA038A">
      <w:pPr>
        <w:jc w:val="center"/>
        <w:rPr>
          <w:b/>
          <w:bCs/>
          <w:sz w:val="28"/>
          <w:lang w:val="en-GB"/>
        </w:rPr>
      </w:pPr>
      <w:r w:rsidRPr="007805EF">
        <w:rPr>
          <w:b/>
          <w:bCs/>
          <w:sz w:val="28"/>
          <w:lang w:val="en-GB"/>
        </w:rPr>
        <w:t>WORKING DOCUMENT</w:t>
      </w:r>
    </w:p>
    <w:p w14:paraId="7BF9667C" w14:textId="77777777" w:rsidR="00DA038A" w:rsidRPr="007805EF" w:rsidRDefault="00DA038A" w:rsidP="00DA038A">
      <w:pPr>
        <w:jc w:val="center"/>
        <w:rPr>
          <w:b/>
          <w:bCs/>
          <w:sz w:val="28"/>
          <w:lang w:val="en-GB"/>
        </w:rPr>
      </w:pPr>
    </w:p>
    <w:p w14:paraId="29DDA13A" w14:textId="77777777" w:rsidR="00DA038A" w:rsidRPr="007805EF" w:rsidRDefault="00DA038A" w:rsidP="00DA038A">
      <w:pPr>
        <w:jc w:val="center"/>
        <w:rPr>
          <w:b/>
          <w:sz w:val="28"/>
          <w:lang w:val="en-GB"/>
        </w:rPr>
      </w:pPr>
      <w:r w:rsidRPr="007805EF">
        <w:rPr>
          <w:b/>
          <w:sz w:val="28"/>
          <w:lang w:val="en-GB"/>
        </w:rPr>
        <w:t>Commission for Environment, Climate Change and Energy</w:t>
      </w:r>
    </w:p>
    <w:p w14:paraId="367F036A" w14:textId="77777777" w:rsidR="00DA038A" w:rsidRPr="007805EF" w:rsidRDefault="00DA038A" w:rsidP="00DA038A">
      <w:pPr>
        <w:jc w:val="center"/>
        <w:rPr>
          <w:b/>
          <w:sz w:val="28"/>
          <w:lang w:val="en-GB"/>
        </w:rPr>
      </w:pPr>
    </w:p>
    <w:p w14:paraId="03BEF661" w14:textId="0FBF6BD8" w:rsidR="00DA038A" w:rsidRPr="007805EF" w:rsidRDefault="005A10F9" w:rsidP="005A62E6">
      <w:pPr>
        <w:jc w:val="center"/>
        <w:rPr>
          <w:lang w:val="en-GB"/>
        </w:rPr>
      </w:pPr>
      <w:r w:rsidRPr="007805EF">
        <w:rPr>
          <w:b/>
          <w:bCs/>
          <w:sz w:val="28"/>
          <w:szCs w:val="28"/>
          <w:lang w:val="en-GB"/>
        </w:rPr>
        <w:t xml:space="preserve">UNFCCC COP28: the role of subnational authorities in keeping climate ambition on track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3"/>
      </w:tblGrid>
      <w:tr w:rsidR="00DA038A" w:rsidRPr="002E2344" w14:paraId="7CAF3D53" w14:textId="77777777" w:rsidTr="00EE2B8C">
        <w:tc>
          <w:tcPr>
            <w:tcW w:w="9243" w:type="dxa"/>
          </w:tcPr>
          <w:p w14:paraId="4FFE9EFC" w14:textId="77777777" w:rsidR="00DA038A" w:rsidRPr="007805EF" w:rsidRDefault="00DA038A" w:rsidP="00EE2B8C">
            <w:pPr>
              <w:jc w:val="center"/>
              <w:rPr>
                <w:lang w:val="en-GB"/>
              </w:rPr>
            </w:pPr>
            <w:r w:rsidRPr="007805EF">
              <w:rPr>
                <w:lang w:val="en-GB"/>
              </w:rPr>
              <w:t>_____________</w:t>
            </w:r>
          </w:p>
          <w:p w14:paraId="762608C7" w14:textId="77777777" w:rsidR="00DA038A" w:rsidRPr="007805EF" w:rsidRDefault="00DA038A" w:rsidP="00EE2B8C">
            <w:pPr>
              <w:jc w:val="center"/>
              <w:rPr>
                <w:lang w:val="en-GB"/>
              </w:rPr>
            </w:pPr>
          </w:p>
          <w:p w14:paraId="722DE0EA" w14:textId="0F9EFF24" w:rsidR="00EF1FAE" w:rsidRPr="007805EF" w:rsidRDefault="00DA038A" w:rsidP="00EF1FAE">
            <w:pPr>
              <w:jc w:val="center"/>
              <w:rPr>
                <w:lang w:val="en-GB"/>
              </w:rPr>
            </w:pPr>
            <w:r w:rsidRPr="007805EF">
              <w:rPr>
                <w:lang w:val="en-GB"/>
              </w:rPr>
              <w:t>Rapporteur:</w:t>
            </w:r>
            <w:r w:rsidR="00EF1FAE" w:rsidRPr="007805EF">
              <w:rPr>
                <w:lang w:val="en-GB"/>
              </w:rPr>
              <w:t xml:space="preserve"> </w:t>
            </w:r>
            <w:r w:rsidR="00EF1FAE" w:rsidRPr="007805EF">
              <w:rPr>
                <w:b/>
                <w:lang w:val="en-GB"/>
              </w:rPr>
              <w:t>Rafa</w:t>
            </w:r>
            <w:r w:rsidR="00577C04" w:rsidRPr="007805EF">
              <w:rPr>
                <w:b/>
                <w:lang w:val="en-GB"/>
              </w:rPr>
              <w:t>ł</w:t>
            </w:r>
            <w:r w:rsidR="00EF1FAE" w:rsidRPr="007805EF">
              <w:rPr>
                <w:b/>
                <w:lang w:val="en-GB"/>
              </w:rPr>
              <w:t xml:space="preserve"> Trzaskowski</w:t>
            </w:r>
          </w:p>
          <w:p w14:paraId="2549D2FC" w14:textId="651A5D47" w:rsidR="005A10F9" w:rsidRPr="007805EF" w:rsidRDefault="00EF1FAE" w:rsidP="00EF1FAE">
            <w:pPr>
              <w:jc w:val="center"/>
              <w:rPr>
                <w:lang w:val="en-GB"/>
              </w:rPr>
            </w:pPr>
            <w:r w:rsidRPr="007805EF">
              <w:rPr>
                <w:bCs/>
                <w:lang w:val="en-GB"/>
              </w:rPr>
              <w:t>Mayor of Warsaw</w:t>
            </w:r>
          </w:p>
          <w:p w14:paraId="33A5F2E0" w14:textId="77777777" w:rsidR="00DA038A" w:rsidRPr="007805EF" w:rsidRDefault="00DA038A" w:rsidP="00EE2B8C">
            <w:pPr>
              <w:jc w:val="center"/>
              <w:rPr>
                <w:b/>
                <w:bCs/>
                <w:lang w:val="en-GB"/>
              </w:rPr>
            </w:pPr>
          </w:p>
          <w:p w14:paraId="00634DE0" w14:textId="77777777" w:rsidR="00DA038A" w:rsidRPr="007805EF" w:rsidRDefault="00DA038A" w:rsidP="00EE2B8C">
            <w:pPr>
              <w:jc w:val="center"/>
              <w:rPr>
                <w:lang w:val="en-GB"/>
              </w:rPr>
            </w:pPr>
            <w:r w:rsidRPr="007805EF">
              <w:rPr>
                <w:lang w:val="en-GB"/>
              </w:rPr>
              <w:t>_____________</w:t>
            </w:r>
            <w:r w:rsidRPr="007805EF">
              <w:rPr>
                <w:lang w:val="en-GB"/>
              </w:rPr>
              <w:br/>
            </w:r>
          </w:p>
        </w:tc>
      </w:tr>
    </w:tbl>
    <w:p w14:paraId="69D086C6" w14:textId="77777777" w:rsidR="00DA038A" w:rsidRPr="007805EF" w:rsidRDefault="00DA038A" w:rsidP="00DA038A">
      <w:pPr>
        <w:jc w:val="left"/>
        <w:rPr>
          <w:lang w:val="en-GB"/>
        </w:rPr>
      </w:pPr>
    </w:p>
    <w:p w14:paraId="7FCF3843" w14:textId="77777777" w:rsidR="00DA038A" w:rsidRPr="007805EF" w:rsidRDefault="00DA038A" w:rsidP="00DA038A">
      <w:pPr>
        <w:jc w:val="left"/>
        <w:rPr>
          <w:lang w:val="en-GB"/>
        </w:rPr>
      </w:pPr>
    </w:p>
    <w:p w14:paraId="4BAE567A" w14:textId="77777777" w:rsidR="00DA038A" w:rsidRPr="007805EF" w:rsidRDefault="00DA038A" w:rsidP="00DA038A">
      <w:pPr>
        <w:jc w:val="left"/>
        <w:rPr>
          <w:lang w:val="en-GB"/>
        </w:rPr>
      </w:pPr>
    </w:p>
    <w:p w14:paraId="7A387523" w14:textId="77777777" w:rsidR="00DA038A" w:rsidRPr="007805EF" w:rsidRDefault="00DA038A" w:rsidP="00DA038A">
      <w:pPr>
        <w:jc w:val="left"/>
        <w:rPr>
          <w:lang w:val="en-GB"/>
        </w:rPr>
      </w:pPr>
    </w:p>
    <w:p w14:paraId="62F2B25A" w14:textId="77777777" w:rsidR="00DA038A" w:rsidRPr="007805EF" w:rsidRDefault="00DA038A" w:rsidP="00DA038A">
      <w:pPr>
        <w:jc w:val="left"/>
        <w:rPr>
          <w:lang w:val="en-GB"/>
        </w:rPr>
      </w:pPr>
    </w:p>
    <w:p w14:paraId="13B1239B" w14:textId="77777777" w:rsidR="00DA038A" w:rsidRPr="007805EF" w:rsidRDefault="00DA038A" w:rsidP="00DA038A">
      <w:pPr>
        <w:jc w:val="left"/>
        <w:rPr>
          <w:lang w:val="en-GB"/>
        </w:rPr>
      </w:pPr>
    </w:p>
    <w:p w14:paraId="0DAF9CEC" w14:textId="77777777" w:rsidR="00DA038A" w:rsidRPr="007805EF" w:rsidRDefault="00DA038A" w:rsidP="00DA038A">
      <w:pPr>
        <w:jc w:val="left"/>
        <w:rPr>
          <w:lang w:val="en-GB"/>
        </w:rPr>
      </w:pPr>
    </w:p>
    <w:p w14:paraId="2523B246" w14:textId="77777777" w:rsidR="00DA038A" w:rsidRPr="007805EF" w:rsidRDefault="00DA038A" w:rsidP="00DA038A">
      <w:pPr>
        <w:jc w:val="left"/>
        <w:rPr>
          <w:lang w:val="en-GB"/>
        </w:rPr>
      </w:pPr>
    </w:p>
    <w:p w14:paraId="657AE52B" w14:textId="77777777" w:rsidR="00DA038A" w:rsidRPr="007805EF" w:rsidRDefault="00DA038A" w:rsidP="00DA038A">
      <w:pPr>
        <w:jc w:val="left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DA038A" w:rsidRPr="002E2344" w14:paraId="15AE600E" w14:textId="77777777" w:rsidTr="00EE2B8C">
        <w:tc>
          <w:tcPr>
            <w:tcW w:w="9243" w:type="dxa"/>
            <w:tcBorders>
              <w:top w:val="single" w:sz="4" w:space="0" w:color="auto"/>
              <w:bottom w:val="single" w:sz="4" w:space="0" w:color="auto"/>
            </w:tcBorders>
          </w:tcPr>
          <w:p w14:paraId="36B6963D" w14:textId="748420DC" w:rsidR="00DA038A" w:rsidRPr="007805EF" w:rsidRDefault="00DA038A" w:rsidP="00C50877">
            <w:pPr>
              <w:rPr>
                <w:bCs/>
                <w:iCs/>
                <w:color w:val="000000"/>
                <w:lang w:val="en-GB"/>
              </w:rPr>
            </w:pPr>
            <w:r w:rsidRPr="007805EF">
              <w:rPr>
                <w:lang w:val="en-GB"/>
              </w:rPr>
              <w:t xml:space="preserve">This document will be discussed at the meeting of the </w:t>
            </w:r>
            <w:r w:rsidRPr="007805EF">
              <w:rPr>
                <w:b/>
                <w:lang w:val="en-GB"/>
              </w:rPr>
              <w:t>Commission for Environment, Climate Change and Energy</w:t>
            </w:r>
            <w:r w:rsidRPr="007805EF">
              <w:rPr>
                <w:lang w:val="en-GB"/>
              </w:rPr>
              <w:t xml:space="preserve"> to be held </w:t>
            </w:r>
            <w:r w:rsidRPr="007805EF">
              <w:rPr>
                <w:color w:val="000000" w:themeColor="text1"/>
                <w:lang w:val="en-GB"/>
              </w:rPr>
              <w:t xml:space="preserve">from </w:t>
            </w:r>
            <w:r w:rsidRPr="007805EF">
              <w:rPr>
                <w:b/>
                <w:color w:val="000000" w:themeColor="text1"/>
                <w:lang w:val="en-GB"/>
              </w:rPr>
              <w:t>11 a.m. to 5</w:t>
            </w:r>
            <w:r w:rsidR="00973D99" w:rsidRPr="007805EF">
              <w:rPr>
                <w:b/>
                <w:color w:val="000000" w:themeColor="text1"/>
                <w:lang w:val="en-GB"/>
              </w:rPr>
              <w:t>.30</w:t>
            </w:r>
            <w:r w:rsidRPr="007805EF">
              <w:rPr>
                <w:b/>
                <w:color w:val="000000" w:themeColor="text1"/>
                <w:lang w:val="en-GB"/>
              </w:rPr>
              <w:t xml:space="preserve"> p.m. on </w:t>
            </w:r>
            <w:r w:rsidR="005A10F9" w:rsidRPr="007805EF">
              <w:rPr>
                <w:b/>
                <w:color w:val="000000" w:themeColor="text1"/>
                <w:lang w:val="en-GB"/>
              </w:rPr>
              <w:t>10 May</w:t>
            </w:r>
            <w:r w:rsidR="00C95FFC" w:rsidRPr="007805EF">
              <w:rPr>
                <w:b/>
                <w:color w:val="000000" w:themeColor="text1"/>
                <w:lang w:val="en-GB"/>
              </w:rPr>
              <w:t xml:space="preserve"> </w:t>
            </w:r>
            <w:r w:rsidR="003D3AA2" w:rsidRPr="007805EF">
              <w:rPr>
                <w:b/>
                <w:color w:val="000000" w:themeColor="text1"/>
                <w:lang w:val="en-GB"/>
              </w:rPr>
              <w:t>2023</w:t>
            </w:r>
          </w:p>
        </w:tc>
      </w:tr>
    </w:tbl>
    <w:p w14:paraId="5DA7ADE9" w14:textId="77777777" w:rsidR="00DA038A" w:rsidRPr="007805EF" w:rsidRDefault="00DA038A" w:rsidP="00DA038A">
      <w:pPr>
        <w:rPr>
          <w:lang w:val="en-GB"/>
        </w:rPr>
      </w:pPr>
    </w:p>
    <w:p w14:paraId="04C79FA9" w14:textId="77777777" w:rsidR="00DA038A" w:rsidRPr="007805EF" w:rsidRDefault="00DA038A" w:rsidP="00DA038A">
      <w:pPr>
        <w:spacing w:after="160" w:line="259" w:lineRule="auto"/>
        <w:jc w:val="left"/>
        <w:rPr>
          <w:lang w:val="en-GB"/>
        </w:rPr>
      </w:pPr>
      <w:r w:rsidRPr="007805EF">
        <w:rPr>
          <w:lang w:val="en-GB"/>
        </w:rP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3"/>
      </w:tblGrid>
      <w:tr w:rsidR="00DA038A" w:rsidRPr="002E2344" w14:paraId="783A38DE" w14:textId="77777777" w:rsidTr="00EE2B8C">
        <w:trPr>
          <w:trHeight w:val="12474"/>
        </w:trPr>
        <w:tc>
          <w:tcPr>
            <w:tcW w:w="9243" w:type="dxa"/>
            <w:vAlign w:val="bottom"/>
          </w:tcPr>
          <w:p w14:paraId="7944CBF7" w14:textId="77777777" w:rsidR="00DA038A" w:rsidRPr="007805EF" w:rsidRDefault="00DA038A" w:rsidP="00EE2B8C">
            <w:pPr>
              <w:rPr>
                <w:u w:val="single"/>
                <w:lang w:val="en-GB"/>
              </w:rPr>
            </w:pPr>
          </w:p>
          <w:p w14:paraId="5F51BE10" w14:textId="77777777" w:rsidR="00DA038A" w:rsidRPr="007805EF" w:rsidRDefault="00DA038A" w:rsidP="00EE2B8C">
            <w:pPr>
              <w:rPr>
                <w:u w:val="single"/>
                <w:lang w:val="en-GB"/>
              </w:rPr>
            </w:pPr>
            <w:r w:rsidRPr="007805EF">
              <w:rPr>
                <w:u w:val="single"/>
                <w:lang w:val="en-GB"/>
              </w:rPr>
              <w:t>Reference document</w:t>
            </w:r>
          </w:p>
          <w:p w14:paraId="5DF5450D" w14:textId="77777777" w:rsidR="00DA038A" w:rsidRPr="007805EF" w:rsidRDefault="00DA038A" w:rsidP="00EE2B8C">
            <w:pPr>
              <w:rPr>
                <w:lang w:val="en-GB"/>
              </w:rPr>
            </w:pPr>
          </w:p>
          <w:p w14:paraId="2566EA60" w14:textId="2FFB2228" w:rsidR="00DA038A" w:rsidRPr="007805EF" w:rsidRDefault="00F255C5" w:rsidP="00716798">
            <w:pPr>
              <w:rPr>
                <w:lang w:val="en-GB"/>
              </w:rPr>
            </w:pPr>
            <w:r w:rsidRPr="007805EF">
              <w:rPr>
                <w:lang w:val="en-GB"/>
              </w:rPr>
              <w:t>Own-initiative opinion</w:t>
            </w:r>
          </w:p>
        </w:tc>
      </w:tr>
    </w:tbl>
    <w:p w14:paraId="6CA48E3D" w14:textId="77777777" w:rsidR="00DA038A" w:rsidRPr="007805EF" w:rsidRDefault="00DA038A" w:rsidP="00DA038A">
      <w:pPr>
        <w:rPr>
          <w:lang w:val="en-GB"/>
        </w:rPr>
      </w:pPr>
    </w:p>
    <w:p w14:paraId="7FF1A215" w14:textId="77777777" w:rsidR="00DA038A" w:rsidRPr="007805EF" w:rsidRDefault="00DA038A" w:rsidP="00DA038A">
      <w:pPr>
        <w:spacing w:after="160" w:line="259" w:lineRule="auto"/>
        <w:jc w:val="left"/>
        <w:rPr>
          <w:lang w:val="en-GB"/>
        </w:rPr>
      </w:pPr>
      <w:r w:rsidRPr="007805EF">
        <w:rPr>
          <w:lang w:val="en-GB"/>
        </w:rPr>
        <w:br w:type="page"/>
      </w:r>
    </w:p>
    <w:p w14:paraId="51484179" w14:textId="2B5116A6" w:rsidR="00D86E20" w:rsidRPr="007805EF" w:rsidRDefault="007F0BF7" w:rsidP="00EF1FAE">
      <w:pPr>
        <w:spacing w:after="240"/>
        <w:jc w:val="center"/>
        <w:rPr>
          <w:b/>
          <w:lang w:val="en-GB"/>
        </w:rPr>
      </w:pPr>
      <w:r w:rsidRPr="007805EF">
        <w:rPr>
          <w:b/>
          <w:lang w:val="en-GB"/>
        </w:rPr>
        <w:lastRenderedPageBreak/>
        <w:t>Working document</w:t>
      </w:r>
      <w:r w:rsidR="007D7CB6" w:rsidRPr="007805EF">
        <w:rPr>
          <w:b/>
          <w:lang w:val="en-GB"/>
        </w:rPr>
        <w:t xml:space="preserve"> </w:t>
      </w:r>
      <w:r w:rsidR="00DA038A" w:rsidRPr="007805EF">
        <w:rPr>
          <w:b/>
          <w:lang w:val="en-GB"/>
        </w:rPr>
        <w:t>of the Commission for Environment, Climate Change and Energy</w:t>
      </w:r>
      <w:r w:rsidR="009B1A68" w:rsidRPr="007805EF">
        <w:rPr>
          <w:b/>
          <w:lang w:val="en-GB"/>
        </w:rPr>
        <w:t xml:space="preserve"> (ENVE)</w:t>
      </w:r>
      <w:r w:rsidR="00DA038A" w:rsidRPr="007805EF">
        <w:rPr>
          <w:b/>
          <w:lang w:val="en-GB"/>
        </w:rPr>
        <w:t xml:space="preserve"> </w:t>
      </w:r>
      <w:r w:rsidR="0033646B" w:rsidRPr="007805EF">
        <w:rPr>
          <w:b/>
          <w:lang w:val="en-GB"/>
        </w:rPr>
        <w:t>–</w:t>
      </w:r>
      <w:r w:rsidR="005005F3" w:rsidRPr="007805EF">
        <w:rPr>
          <w:b/>
          <w:lang w:val="en-GB"/>
        </w:rPr>
        <w:br/>
      </w:r>
      <w:r w:rsidR="005A10F9" w:rsidRPr="007805EF">
        <w:rPr>
          <w:b/>
          <w:lang w:val="en-GB"/>
        </w:rPr>
        <w:t xml:space="preserve">UNFCCC COP28: the role of subnational authorities in keeping climate ambition on track </w:t>
      </w:r>
    </w:p>
    <w:p w14:paraId="38DBD631" w14:textId="685B5B05" w:rsidR="00EF1FAE" w:rsidRPr="007805EF" w:rsidRDefault="00EF1FAE" w:rsidP="00EF1FAE">
      <w:pPr>
        <w:pStyle w:val="NormalWeb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The </w:t>
      </w:r>
      <w:r w:rsidR="004F7C01" w:rsidRPr="007805EF">
        <w:rPr>
          <w:rStyle w:val="markedcontent"/>
          <w:sz w:val="22"/>
          <w:szCs w:val="22"/>
          <w:lang w:val="en-GB"/>
        </w:rPr>
        <w:t xml:space="preserve">recently </w:t>
      </w:r>
      <w:r w:rsidR="00FE3D6A" w:rsidRPr="007805EF">
        <w:rPr>
          <w:rStyle w:val="markedcontent"/>
          <w:sz w:val="22"/>
          <w:szCs w:val="22"/>
          <w:lang w:val="en-GB"/>
        </w:rPr>
        <w:t>published</w:t>
      </w:r>
      <w:r w:rsidR="004F7C01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 xml:space="preserve">IPCC </w:t>
      </w:r>
      <w:hyperlink r:id="rId14" w:history="1">
        <w:r w:rsidRPr="007805EF">
          <w:rPr>
            <w:rStyle w:val="Lienhypertexte"/>
            <w:sz w:val="22"/>
            <w:szCs w:val="22"/>
            <w:lang w:val="en-GB"/>
          </w:rPr>
          <w:t xml:space="preserve">6th </w:t>
        </w:r>
        <w:r w:rsidR="004F7C01" w:rsidRPr="007805EF">
          <w:rPr>
            <w:rStyle w:val="Lienhypertexte"/>
            <w:sz w:val="22"/>
            <w:szCs w:val="22"/>
            <w:lang w:val="en-GB"/>
          </w:rPr>
          <w:t xml:space="preserve">Synthesis </w:t>
        </w:r>
        <w:r w:rsidRPr="007805EF">
          <w:rPr>
            <w:rStyle w:val="Lienhypertexte"/>
            <w:sz w:val="22"/>
            <w:szCs w:val="22"/>
            <w:lang w:val="en-GB"/>
          </w:rPr>
          <w:t>Report</w:t>
        </w:r>
      </w:hyperlink>
      <w:r w:rsidRPr="007805EF">
        <w:rPr>
          <w:rStyle w:val="markedcontent"/>
          <w:sz w:val="22"/>
          <w:szCs w:val="22"/>
          <w:lang w:val="en-GB"/>
        </w:rPr>
        <w:t xml:space="preserve"> provides a stark reminder that even with drastic reductions in </w:t>
      </w:r>
      <w:r w:rsidR="004F7C01" w:rsidRPr="007805EF">
        <w:rPr>
          <w:rStyle w:val="markedcontent"/>
          <w:sz w:val="22"/>
          <w:szCs w:val="22"/>
          <w:lang w:val="en-GB"/>
        </w:rPr>
        <w:t>g</w:t>
      </w:r>
      <w:r w:rsidRPr="007805EF">
        <w:rPr>
          <w:rStyle w:val="markedcontent"/>
          <w:sz w:val="22"/>
          <w:szCs w:val="22"/>
          <w:lang w:val="en-GB"/>
        </w:rPr>
        <w:t xml:space="preserve">reenhouse </w:t>
      </w:r>
      <w:r w:rsidR="004F7C01" w:rsidRPr="007805EF">
        <w:rPr>
          <w:rStyle w:val="markedcontent"/>
          <w:sz w:val="22"/>
          <w:szCs w:val="22"/>
          <w:lang w:val="en-GB"/>
        </w:rPr>
        <w:t>g</w:t>
      </w:r>
      <w:r w:rsidRPr="007805EF">
        <w:rPr>
          <w:rStyle w:val="markedcontent"/>
          <w:sz w:val="22"/>
          <w:szCs w:val="22"/>
          <w:lang w:val="en-GB"/>
        </w:rPr>
        <w:t xml:space="preserve">as emissions, global warming will exceed </w:t>
      </w:r>
      <w:r w:rsidR="00FC023C" w:rsidRPr="007805EF">
        <w:rPr>
          <w:rStyle w:val="markedcontent"/>
          <w:sz w:val="22"/>
          <w:szCs w:val="22"/>
          <w:lang w:val="en-GB"/>
        </w:rPr>
        <w:t xml:space="preserve">1.5°C </w:t>
      </w:r>
      <w:r w:rsidRPr="007805EF">
        <w:rPr>
          <w:rStyle w:val="markedcontent"/>
          <w:sz w:val="22"/>
          <w:szCs w:val="22"/>
          <w:lang w:val="en-GB"/>
        </w:rPr>
        <w:t>this century.</w:t>
      </w:r>
      <w:r w:rsidR="00FE3D6A" w:rsidRPr="007805EF">
        <w:rPr>
          <w:rStyle w:val="markedcontent"/>
          <w:sz w:val="22"/>
          <w:szCs w:val="22"/>
          <w:lang w:val="en-GB"/>
        </w:rPr>
        <w:t xml:space="preserve"> Therefore, the road to COP28 and the first </w:t>
      </w:r>
      <w:hyperlink r:id="rId15" w:history="1">
        <w:r w:rsidR="00FE3D6A" w:rsidRPr="007805EF">
          <w:rPr>
            <w:rStyle w:val="Lienhypertexte"/>
            <w:sz w:val="22"/>
            <w:szCs w:val="22"/>
            <w:lang w:val="en-GB"/>
          </w:rPr>
          <w:t>Global Stocktake</w:t>
        </w:r>
        <w:r w:rsidR="00FE3D6A" w:rsidRPr="007805EF">
          <w:rPr>
            <w:rStyle w:val="Appelnotedebasdep"/>
            <w:color w:val="000000" w:themeColor="text1"/>
            <w:szCs w:val="22"/>
            <w:lang w:val="en-IE"/>
          </w:rPr>
          <w:footnoteReference w:id="1"/>
        </w:r>
        <w:r w:rsidR="00FE3D6A" w:rsidRPr="007805EF">
          <w:rPr>
            <w:rStyle w:val="Lienhypertexte"/>
            <w:color w:val="000000" w:themeColor="text1"/>
            <w:sz w:val="22"/>
            <w:szCs w:val="22"/>
            <w:u w:val="none"/>
            <w:lang w:val="en-GB"/>
          </w:rPr>
          <w:t xml:space="preserve"> </w:t>
        </w:r>
      </w:hyperlink>
      <w:r w:rsidR="00FE3D6A" w:rsidRPr="007805EF">
        <w:rPr>
          <w:rStyle w:val="markedcontent"/>
          <w:sz w:val="22"/>
          <w:szCs w:val="22"/>
          <w:lang w:val="en-GB"/>
        </w:rPr>
        <w:t xml:space="preserve">leads all </w:t>
      </w:r>
      <w:r w:rsidR="00154EAE" w:rsidRPr="007805EF">
        <w:rPr>
          <w:rStyle w:val="markedcontent"/>
          <w:sz w:val="22"/>
          <w:szCs w:val="22"/>
          <w:lang w:val="en-GB"/>
        </w:rPr>
        <w:t>p</w:t>
      </w:r>
      <w:r w:rsidR="00FE3D6A" w:rsidRPr="007805EF">
        <w:rPr>
          <w:rStyle w:val="markedcontent"/>
          <w:sz w:val="22"/>
          <w:szCs w:val="22"/>
          <w:lang w:val="en-GB"/>
        </w:rPr>
        <w:t>arties and non-</w:t>
      </w:r>
      <w:r w:rsidR="00154EAE" w:rsidRPr="007805EF">
        <w:rPr>
          <w:rStyle w:val="markedcontent"/>
          <w:sz w:val="22"/>
          <w:szCs w:val="22"/>
          <w:lang w:val="en-GB"/>
        </w:rPr>
        <w:t>p</w:t>
      </w:r>
      <w:r w:rsidR="00FE3D6A" w:rsidRPr="007805EF">
        <w:rPr>
          <w:rStyle w:val="markedcontent"/>
          <w:sz w:val="22"/>
          <w:szCs w:val="22"/>
          <w:lang w:val="en-GB"/>
        </w:rPr>
        <w:t>arty stakeholders</w:t>
      </w:r>
      <w:r w:rsidR="00FE3D6A" w:rsidRPr="007805EF">
        <w:rPr>
          <w:rStyle w:val="Marquedecommentaire"/>
          <w:lang w:val="en-GB" w:eastAsia="en-US"/>
        </w:rPr>
        <w:t xml:space="preserve"> </w:t>
      </w:r>
      <w:r w:rsidR="00FE3D6A" w:rsidRPr="007805EF">
        <w:rPr>
          <w:rStyle w:val="markedcontent"/>
          <w:sz w:val="22"/>
          <w:szCs w:val="22"/>
          <w:lang w:val="en-GB"/>
        </w:rPr>
        <w:t>on an urgent path to deliver climate action and enhance Nationally Determined Contributions (NDCs).</w:t>
      </w:r>
    </w:p>
    <w:p w14:paraId="77DD740B" w14:textId="4DFCA0B2" w:rsidR="00987D90" w:rsidRPr="007805EF" w:rsidRDefault="00EF1FAE" w:rsidP="00EF1FAE">
      <w:pPr>
        <w:pStyle w:val="NormalWeb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The </w:t>
      </w:r>
      <w:hyperlink r:id="rId16" w:history="1">
        <w:r w:rsidRPr="007805EF">
          <w:rPr>
            <w:rStyle w:val="Lienhypertexte"/>
            <w:sz w:val="22"/>
            <w:szCs w:val="22"/>
            <w:lang w:val="en-GB"/>
          </w:rPr>
          <w:t>Summary for Urban Policymakers of the IPCCC 6</w:t>
        </w:r>
        <w:r w:rsidRPr="007805EF">
          <w:rPr>
            <w:rStyle w:val="Lienhypertexte"/>
            <w:sz w:val="22"/>
            <w:szCs w:val="22"/>
            <w:vertAlign w:val="superscript"/>
            <w:lang w:val="en-GB"/>
          </w:rPr>
          <w:t>th</w:t>
        </w:r>
        <w:r w:rsidRPr="007805EF">
          <w:rPr>
            <w:rStyle w:val="Lienhypertexte"/>
            <w:sz w:val="22"/>
            <w:szCs w:val="22"/>
            <w:lang w:val="en-GB"/>
          </w:rPr>
          <w:t xml:space="preserve"> Assessment Report </w:t>
        </w:r>
      </w:hyperlink>
      <w:r w:rsidR="00297FC8" w:rsidRPr="007805EF">
        <w:rPr>
          <w:rStyle w:val="markedcontent"/>
          <w:sz w:val="22"/>
          <w:szCs w:val="22"/>
          <w:lang w:val="en-GB"/>
        </w:rPr>
        <w:t>concluded</w:t>
      </w:r>
      <w:r w:rsidRPr="007805EF">
        <w:rPr>
          <w:rStyle w:val="markedcontent"/>
          <w:sz w:val="22"/>
          <w:szCs w:val="22"/>
          <w:lang w:val="en-GB"/>
        </w:rPr>
        <w:t xml:space="preserve"> that cities and urban areas will be</w:t>
      </w:r>
      <w:r w:rsidR="00B1013C" w:rsidRPr="007805EF">
        <w:rPr>
          <w:rStyle w:val="markedcontent"/>
          <w:sz w:val="22"/>
          <w:szCs w:val="22"/>
          <w:lang w:val="en-GB"/>
        </w:rPr>
        <w:t xml:space="preserve"> impacted</w:t>
      </w:r>
      <w:r w:rsidRPr="007805EF">
        <w:rPr>
          <w:rStyle w:val="markedcontent"/>
          <w:sz w:val="22"/>
          <w:szCs w:val="22"/>
          <w:lang w:val="en-GB"/>
        </w:rPr>
        <w:t xml:space="preserve"> the most. </w:t>
      </w:r>
      <w:r w:rsidR="00297FC8" w:rsidRPr="007805EF">
        <w:rPr>
          <w:rStyle w:val="markedcontent"/>
          <w:sz w:val="22"/>
          <w:szCs w:val="22"/>
          <w:lang w:val="en-GB"/>
        </w:rPr>
        <w:t>Yet,</w:t>
      </w:r>
      <w:r w:rsidRPr="007805EF">
        <w:rPr>
          <w:rStyle w:val="markedcontent"/>
          <w:sz w:val="22"/>
          <w:szCs w:val="22"/>
          <w:lang w:val="en-GB"/>
        </w:rPr>
        <w:t xml:space="preserve"> </w:t>
      </w:r>
      <w:r w:rsidR="00835EE7" w:rsidRPr="007805EF">
        <w:rPr>
          <w:rStyle w:val="markedcontent"/>
          <w:sz w:val="22"/>
          <w:szCs w:val="22"/>
          <w:lang w:val="en-GB"/>
        </w:rPr>
        <w:t xml:space="preserve">it </w:t>
      </w:r>
      <w:r w:rsidR="00297FC8" w:rsidRPr="007805EF">
        <w:rPr>
          <w:rStyle w:val="markedcontent"/>
          <w:sz w:val="22"/>
          <w:szCs w:val="22"/>
          <w:lang w:val="en-GB"/>
        </w:rPr>
        <w:t xml:space="preserve">also </w:t>
      </w:r>
      <w:r w:rsidR="00835EE7" w:rsidRPr="007805EF">
        <w:rPr>
          <w:rStyle w:val="markedcontent"/>
          <w:sz w:val="22"/>
          <w:szCs w:val="22"/>
          <w:lang w:val="en-GB"/>
        </w:rPr>
        <w:t xml:space="preserve">shows that </w:t>
      </w:r>
      <w:r w:rsidRPr="007805EF">
        <w:rPr>
          <w:rStyle w:val="markedcontent"/>
          <w:sz w:val="22"/>
          <w:szCs w:val="22"/>
          <w:lang w:val="en-GB"/>
        </w:rPr>
        <w:t xml:space="preserve">cities and regions are </w:t>
      </w:r>
      <w:r w:rsidR="00297FC8" w:rsidRPr="007805EF">
        <w:rPr>
          <w:rStyle w:val="markedcontent"/>
          <w:sz w:val="22"/>
          <w:szCs w:val="22"/>
          <w:lang w:val="en-GB"/>
        </w:rPr>
        <w:t xml:space="preserve">critical hubs </w:t>
      </w:r>
      <w:r w:rsidRPr="007805EF">
        <w:rPr>
          <w:rStyle w:val="markedcontent"/>
          <w:sz w:val="22"/>
          <w:szCs w:val="22"/>
          <w:lang w:val="en-GB"/>
        </w:rPr>
        <w:t xml:space="preserve">for innovation, mitigation, </w:t>
      </w:r>
      <w:r w:rsidR="00B1013C" w:rsidRPr="007805EF">
        <w:rPr>
          <w:rStyle w:val="markedcontent"/>
          <w:sz w:val="22"/>
          <w:szCs w:val="22"/>
          <w:lang w:val="en-GB"/>
        </w:rPr>
        <w:t xml:space="preserve">adaptation, </w:t>
      </w:r>
      <w:r w:rsidRPr="007805EF">
        <w:rPr>
          <w:rStyle w:val="markedcontent"/>
          <w:sz w:val="22"/>
          <w:szCs w:val="22"/>
          <w:lang w:val="en-GB"/>
        </w:rPr>
        <w:t>and the implementation of sustainable development</w:t>
      </w:r>
      <w:r w:rsidR="00835EE7" w:rsidRPr="007805EF">
        <w:rPr>
          <w:rStyle w:val="markedcontent"/>
          <w:sz w:val="22"/>
          <w:szCs w:val="22"/>
          <w:lang w:val="en-GB"/>
        </w:rPr>
        <w:t xml:space="preserve"> goals</w:t>
      </w:r>
      <w:r w:rsidR="00982DEC" w:rsidRPr="007805EF">
        <w:rPr>
          <w:rStyle w:val="markedcontent"/>
          <w:sz w:val="22"/>
          <w:szCs w:val="22"/>
          <w:lang w:val="en-GB"/>
        </w:rPr>
        <w:t xml:space="preserve"> (SDGs)</w:t>
      </w:r>
      <w:r w:rsidRPr="007805EF">
        <w:rPr>
          <w:rStyle w:val="markedcontent"/>
          <w:sz w:val="22"/>
          <w:szCs w:val="22"/>
          <w:lang w:val="en-GB"/>
        </w:rPr>
        <w:t xml:space="preserve">, </w:t>
      </w:r>
      <w:r w:rsidR="00297FC8" w:rsidRPr="007805EF">
        <w:rPr>
          <w:rStyle w:val="markedcontent"/>
          <w:sz w:val="22"/>
          <w:szCs w:val="22"/>
          <w:lang w:val="en-GB"/>
        </w:rPr>
        <w:t>with many</w:t>
      </w:r>
      <w:r w:rsidRPr="007805EF">
        <w:rPr>
          <w:rStyle w:val="markedcontent"/>
          <w:sz w:val="22"/>
          <w:szCs w:val="22"/>
          <w:lang w:val="en-GB"/>
        </w:rPr>
        <w:t xml:space="preserve"> already spearheading </w:t>
      </w:r>
      <w:r w:rsidR="003B7E05">
        <w:rPr>
          <w:rStyle w:val="markedcontent"/>
          <w:sz w:val="22"/>
          <w:szCs w:val="22"/>
          <w:lang w:val="en-GB"/>
        </w:rPr>
        <w:t>action in these areas</w:t>
      </w:r>
      <w:r w:rsidRPr="007805EF">
        <w:rPr>
          <w:rStyle w:val="markedcontent"/>
          <w:sz w:val="22"/>
          <w:szCs w:val="22"/>
          <w:lang w:val="en-GB"/>
        </w:rPr>
        <w:t xml:space="preserve">. </w:t>
      </w:r>
      <w:r w:rsidR="003605A6" w:rsidRPr="007805EF">
        <w:rPr>
          <w:rStyle w:val="markedcontent"/>
          <w:sz w:val="22"/>
          <w:szCs w:val="22"/>
          <w:lang w:val="en-GB"/>
        </w:rPr>
        <w:t>T</w:t>
      </w:r>
      <w:r w:rsidRPr="007805EF">
        <w:rPr>
          <w:rStyle w:val="markedcontent"/>
          <w:sz w:val="22"/>
          <w:szCs w:val="22"/>
          <w:lang w:val="en-GB"/>
        </w:rPr>
        <w:t xml:space="preserve">he </w:t>
      </w:r>
      <w:r w:rsidR="00952444" w:rsidRPr="007805EF">
        <w:rPr>
          <w:rStyle w:val="markedcontent"/>
          <w:sz w:val="22"/>
          <w:szCs w:val="22"/>
          <w:lang w:val="en-GB"/>
        </w:rPr>
        <w:t xml:space="preserve">2022 </w:t>
      </w:r>
      <w:hyperlink r:id="rId17" w:history="1">
        <w:r w:rsidRPr="007805EF">
          <w:rPr>
            <w:rStyle w:val="Lienhypertexte"/>
            <w:sz w:val="22"/>
            <w:szCs w:val="22"/>
            <w:lang w:val="en-GB"/>
          </w:rPr>
          <w:t>Global Covenant of Mayors for Climate and Energy (GCoM) Impact Report</w:t>
        </w:r>
      </w:hyperlink>
      <w:r w:rsidRPr="007805EF">
        <w:rPr>
          <w:rStyle w:val="markedcontent"/>
          <w:sz w:val="22"/>
          <w:szCs w:val="22"/>
          <w:lang w:val="en-GB"/>
        </w:rPr>
        <w:t xml:space="preserve"> </w:t>
      </w:r>
      <w:r w:rsidR="003605A6" w:rsidRPr="007805EF">
        <w:rPr>
          <w:rStyle w:val="markedcontent"/>
          <w:sz w:val="22"/>
          <w:szCs w:val="22"/>
          <w:lang w:val="en-GB"/>
        </w:rPr>
        <w:t xml:space="preserve">showcases </w:t>
      </w:r>
      <w:r w:rsidRPr="007805EF">
        <w:rPr>
          <w:rStyle w:val="markedcontent"/>
          <w:sz w:val="22"/>
          <w:szCs w:val="22"/>
          <w:lang w:val="en-GB"/>
        </w:rPr>
        <w:t xml:space="preserve">how over 12500 GCoM signatories across 144 countries are </w:t>
      </w:r>
      <w:r w:rsidR="00E17338" w:rsidRPr="007805EF">
        <w:rPr>
          <w:rStyle w:val="markedcontent"/>
          <w:sz w:val="22"/>
          <w:szCs w:val="22"/>
          <w:lang w:val="en-GB"/>
        </w:rPr>
        <w:t xml:space="preserve">gearing up for </w:t>
      </w:r>
      <w:r w:rsidR="003605A6" w:rsidRPr="007805EF">
        <w:rPr>
          <w:rStyle w:val="markedcontent"/>
          <w:sz w:val="22"/>
          <w:szCs w:val="22"/>
          <w:lang w:val="en-GB"/>
        </w:rPr>
        <w:t xml:space="preserve"> the challenge,</w:t>
      </w:r>
      <w:r w:rsidRPr="007805EF">
        <w:rPr>
          <w:rStyle w:val="markedcontent"/>
          <w:sz w:val="22"/>
          <w:szCs w:val="22"/>
          <w:lang w:val="en-GB"/>
        </w:rPr>
        <w:t xml:space="preserve"> adopting targets projected to reduce global emissions by 4.1 GtCO2e in 2050, implementing actions to improve energy efficiency, invest</w:t>
      </w:r>
      <w:r w:rsidR="003605A6" w:rsidRPr="007805EF">
        <w:rPr>
          <w:rStyle w:val="markedcontent"/>
          <w:sz w:val="22"/>
          <w:szCs w:val="22"/>
          <w:lang w:val="en-GB"/>
        </w:rPr>
        <w:t>ing</w:t>
      </w:r>
      <w:r w:rsidRPr="007805EF">
        <w:rPr>
          <w:rStyle w:val="markedcontent"/>
          <w:sz w:val="22"/>
          <w:szCs w:val="22"/>
          <w:lang w:val="en-GB"/>
        </w:rPr>
        <w:t xml:space="preserve"> in renewable energy generation, address</w:t>
      </w:r>
      <w:r w:rsidR="003605A6" w:rsidRPr="007805EF">
        <w:rPr>
          <w:rStyle w:val="markedcontent"/>
          <w:sz w:val="22"/>
          <w:szCs w:val="22"/>
          <w:lang w:val="en-GB"/>
        </w:rPr>
        <w:t>ing</w:t>
      </w:r>
      <w:r w:rsidRPr="007805EF">
        <w:rPr>
          <w:rStyle w:val="markedcontent"/>
          <w:sz w:val="22"/>
          <w:szCs w:val="22"/>
          <w:lang w:val="en-GB"/>
        </w:rPr>
        <w:t xml:space="preserve"> energy access, and adapt</w:t>
      </w:r>
      <w:r w:rsidR="003605A6" w:rsidRPr="007805EF">
        <w:rPr>
          <w:rStyle w:val="markedcontent"/>
          <w:sz w:val="22"/>
          <w:szCs w:val="22"/>
          <w:lang w:val="en-GB"/>
        </w:rPr>
        <w:t>ing</w:t>
      </w:r>
      <w:r w:rsidRPr="007805EF">
        <w:rPr>
          <w:rStyle w:val="markedcontent"/>
          <w:sz w:val="22"/>
          <w:szCs w:val="22"/>
          <w:lang w:val="en-GB"/>
        </w:rPr>
        <w:t xml:space="preserve"> to the impacts of climate change.</w:t>
      </w:r>
    </w:p>
    <w:p w14:paraId="7801A930" w14:textId="23D5CD60" w:rsidR="00EF1FAE" w:rsidRPr="007805EF" w:rsidRDefault="00EF1FAE" w:rsidP="00EF1FAE">
      <w:pPr>
        <w:pStyle w:val="NormalWeb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With </w:t>
      </w:r>
      <w:r w:rsidR="003605A6" w:rsidRPr="007805EF">
        <w:rPr>
          <w:rStyle w:val="markedcontent"/>
          <w:sz w:val="22"/>
          <w:szCs w:val="22"/>
          <w:lang w:val="en-GB"/>
        </w:rPr>
        <w:t>local and regional authorities (</w:t>
      </w:r>
      <w:r w:rsidRPr="007805EF">
        <w:rPr>
          <w:rStyle w:val="markedcontent"/>
          <w:sz w:val="22"/>
          <w:szCs w:val="22"/>
          <w:lang w:val="en-GB"/>
        </w:rPr>
        <w:t>LRAs</w:t>
      </w:r>
      <w:r w:rsidR="003605A6" w:rsidRPr="007805EF">
        <w:rPr>
          <w:rStyle w:val="markedcontent"/>
          <w:sz w:val="22"/>
          <w:szCs w:val="22"/>
          <w:lang w:val="en-GB"/>
        </w:rPr>
        <w:t>)</w:t>
      </w:r>
      <w:r w:rsidRPr="007805EF">
        <w:rPr>
          <w:rStyle w:val="markedcontent"/>
          <w:sz w:val="22"/>
          <w:szCs w:val="22"/>
          <w:lang w:val="en-GB"/>
        </w:rPr>
        <w:t xml:space="preserve"> playing a central role in how we adapt and mitigate, policymakers at</w:t>
      </w:r>
      <w:r w:rsidR="003605A6" w:rsidRPr="007805EF">
        <w:rPr>
          <w:rStyle w:val="markedcontent"/>
          <w:sz w:val="22"/>
          <w:szCs w:val="22"/>
          <w:lang w:val="en-GB"/>
        </w:rPr>
        <w:t xml:space="preserve"> all levels </w:t>
      </w:r>
      <w:r w:rsidRPr="007805EF">
        <w:rPr>
          <w:rStyle w:val="markedcontent"/>
          <w:sz w:val="22"/>
          <w:szCs w:val="22"/>
          <w:lang w:val="en-GB"/>
        </w:rPr>
        <w:t>have the opportunity to scale</w:t>
      </w:r>
      <w:r w:rsidR="003605A6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>up solutions by working together:</w:t>
      </w:r>
    </w:p>
    <w:p w14:paraId="72C492BE" w14:textId="4E4BB2FD" w:rsidR="00EF1FAE" w:rsidRPr="007805EF" w:rsidRDefault="000D4A0F" w:rsidP="0050522C">
      <w:pPr>
        <w:pStyle w:val="NormalWeb"/>
        <w:numPr>
          <w:ilvl w:val="0"/>
          <w:numId w:val="22"/>
        </w:numPr>
        <w:spacing w:before="120" w:beforeAutospacing="0" w:after="120" w:afterAutospacing="0"/>
        <w:ind w:left="714" w:hanging="357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>LRAs</w:t>
      </w:r>
      <w:r w:rsidR="00A43A41" w:rsidRPr="007805EF">
        <w:rPr>
          <w:rStyle w:val="markedcontent"/>
          <w:sz w:val="22"/>
          <w:szCs w:val="22"/>
          <w:lang w:val="en-GB"/>
        </w:rPr>
        <w:t xml:space="preserve"> </w:t>
      </w:r>
      <w:r w:rsidR="00EF1FAE" w:rsidRPr="007805EF">
        <w:rPr>
          <w:rStyle w:val="markedcontent"/>
          <w:sz w:val="22"/>
          <w:szCs w:val="22"/>
          <w:lang w:val="en-GB"/>
        </w:rPr>
        <w:t xml:space="preserve">support and </w:t>
      </w:r>
      <w:r w:rsidR="00C34BF8" w:rsidRPr="007805EF">
        <w:rPr>
          <w:rStyle w:val="markedcontent"/>
          <w:sz w:val="22"/>
          <w:szCs w:val="22"/>
          <w:lang w:val="en-GB"/>
        </w:rPr>
        <w:t>inspire increased</w:t>
      </w:r>
      <w:r w:rsidR="00EF1FAE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 xml:space="preserve">climate </w:t>
      </w:r>
      <w:r w:rsidR="00EF1FAE" w:rsidRPr="007805EF">
        <w:rPr>
          <w:rStyle w:val="markedcontent"/>
          <w:sz w:val="22"/>
          <w:szCs w:val="22"/>
          <w:lang w:val="en-GB"/>
        </w:rPr>
        <w:t xml:space="preserve">ambition at </w:t>
      </w:r>
      <w:r w:rsidRPr="007805EF">
        <w:rPr>
          <w:rStyle w:val="markedcontent"/>
          <w:sz w:val="22"/>
          <w:szCs w:val="22"/>
          <w:lang w:val="en-GB"/>
        </w:rPr>
        <w:t xml:space="preserve">national </w:t>
      </w:r>
      <w:r w:rsidR="00EF1FAE" w:rsidRPr="007805EF">
        <w:rPr>
          <w:rStyle w:val="markedcontent"/>
          <w:sz w:val="22"/>
          <w:szCs w:val="22"/>
          <w:lang w:val="en-GB"/>
        </w:rPr>
        <w:t>scale</w:t>
      </w:r>
      <w:r w:rsidR="00C34BF8" w:rsidRPr="007805EF">
        <w:rPr>
          <w:rStyle w:val="markedcontent"/>
          <w:sz w:val="22"/>
          <w:szCs w:val="22"/>
          <w:lang w:val="en-GB"/>
        </w:rPr>
        <w:t xml:space="preserve"> in the lead</w:t>
      </w:r>
      <w:r w:rsidR="00FE5074" w:rsidRPr="007805EF">
        <w:rPr>
          <w:rStyle w:val="markedcontent"/>
          <w:sz w:val="22"/>
          <w:szCs w:val="22"/>
          <w:lang w:val="en-GB"/>
        </w:rPr>
        <w:t>-</w:t>
      </w:r>
      <w:r w:rsidR="00C34BF8" w:rsidRPr="007805EF">
        <w:rPr>
          <w:rStyle w:val="markedcontent"/>
          <w:sz w:val="22"/>
          <w:szCs w:val="22"/>
          <w:lang w:val="en-GB"/>
        </w:rPr>
        <w:t xml:space="preserve">up to COP28. </w:t>
      </w:r>
      <w:r w:rsidR="00A43A41" w:rsidRPr="007805EF">
        <w:rPr>
          <w:rStyle w:val="markedcontent"/>
          <w:sz w:val="22"/>
          <w:szCs w:val="22"/>
          <w:lang w:val="en-GB"/>
        </w:rPr>
        <w:t>They</w:t>
      </w:r>
      <w:r w:rsidR="00EF1FAE" w:rsidRPr="007805EF">
        <w:rPr>
          <w:rStyle w:val="markedcontent"/>
          <w:sz w:val="22"/>
          <w:szCs w:val="22"/>
          <w:lang w:val="en-GB"/>
        </w:rPr>
        <w:t xml:space="preserve"> provid</w:t>
      </w:r>
      <w:r w:rsidR="00C34BF8" w:rsidRPr="007805EF">
        <w:rPr>
          <w:rStyle w:val="markedcontent"/>
          <w:sz w:val="22"/>
          <w:szCs w:val="22"/>
          <w:lang w:val="en-GB"/>
        </w:rPr>
        <w:t>e</w:t>
      </w:r>
      <w:r w:rsidR="00EF1FAE" w:rsidRPr="007805EF">
        <w:rPr>
          <w:rStyle w:val="markedcontent"/>
          <w:sz w:val="22"/>
          <w:szCs w:val="22"/>
          <w:lang w:val="en-GB"/>
        </w:rPr>
        <w:t xml:space="preserve"> </w:t>
      </w:r>
      <w:r w:rsidR="00C34BF8" w:rsidRPr="007805EF">
        <w:rPr>
          <w:rStyle w:val="markedcontent"/>
          <w:sz w:val="22"/>
          <w:szCs w:val="22"/>
          <w:lang w:val="en-GB"/>
        </w:rPr>
        <w:t xml:space="preserve">EU and </w:t>
      </w:r>
      <w:r w:rsidR="00EF1FAE" w:rsidRPr="007805EF">
        <w:rPr>
          <w:rStyle w:val="markedcontent"/>
          <w:sz w:val="22"/>
          <w:szCs w:val="22"/>
          <w:lang w:val="en-GB"/>
        </w:rPr>
        <w:t xml:space="preserve">national negotiators with confidence that </w:t>
      </w:r>
      <w:r w:rsidRPr="007805EF">
        <w:rPr>
          <w:rStyle w:val="markedcontent"/>
          <w:sz w:val="22"/>
          <w:szCs w:val="22"/>
          <w:lang w:val="en-GB"/>
        </w:rPr>
        <w:t xml:space="preserve">increased </w:t>
      </w:r>
      <w:r w:rsidR="00A43A41" w:rsidRPr="007805EF">
        <w:rPr>
          <w:rStyle w:val="markedcontent"/>
          <w:sz w:val="22"/>
          <w:szCs w:val="22"/>
          <w:lang w:val="en-GB"/>
        </w:rPr>
        <w:t>ambition</w:t>
      </w:r>
      <w:r w:rsidR="00EF1FAE" w:rsidRPr="007805EF">
        <w:rPr>
          <w:rStyle w:val="markedcontent"/>
          <w:sz w:val="22"/>
          <w:szCs w:val="22"/>
          <w:lang w:val="en-GB"/>
        </w:rPr>
        <w:t xml:space="preserve"> is not only possible but necessary </w:t>
      </w:r>
      <w:r w:rsidR="00C34BF8" w:rsidRPr="007805EF">
        <w:rPr>
          <w:rStyle w:val="markedcontent"/>
          <w:sz w:val="22"/>
          <w:szCs w:val="22"/>
          <w:lang w:val="en-GB"/>
        </w:rPr>
        <w:t>to meet</w:t>
      </w:r>
      <w:r w:rsidR="00EF1FAE" w:rsidRPr="007805EF">
        <w:rPr>
          <w:rStyle w:val="markedcontent"/>
          <w:sz w:val="22"/>
          <w:szCs w:val="22"/>
          <w:lang w:val="en-GB"/>
        </w:rPr>
        <w:t xml:space="preserve"> the</w:t>
      </w:r>
      <w:r w:rsidR="009523F5">
        <w:rPr>
          <w:rStyle w:val="markedcontent"/>
          <w:sz w:val="22"/>
          <w:szCs w:val="22"/>
          <w:lang w:val="en-GB"/>
        </w:rPr>
        <w:t xml:space="preserve"> goals of the</w:t>
      </w:r>
      <w:r w:rsidR="00EF1FAE" w:rsidRPr="007805EF">
        <w:rPr>
          <w:rStyle w:val="markedcontent"/>
          <w:sz w:val="22"/>
          <w:szCs w:val="22"/>
          <w:lang w:val="en-GB"/>
        </w:rPr>
        <w:t xml:space="preserve"> Paris Agreement</w:t>
      </w:r>
      <w:r w:rsidR="00C34BF8" w:rsidRPr="007805EF">
        <w:rPr>
          <w:rStyle w:val="markedcontent"/>
          <w:sz w:val="22"/>
          <w:szCs w:val="22"/>
          <w:lang w:val="en-GB"/>
        </w:rPr>
        <w:t>.</w:t>
      </w:r>
    </w:p>
    <w:p w14:paraId="7A3E6A0C" w14:textId="2F68104B" w:rsidR="00EF1FAE" w:rsidRPr="007805EF" w:rsidRDefault="000D4A0F" w:rsidP="0050522C">
      <w:pPr>
        <w:pStyle w:val="NormalWeb"/>
        <w:numPr>
          <w:ilvl w:val="0"/>
          <w:numId w:val="22"/>
        </w:numPr>
        <w:spacing w:before="120" w:beforeAutospacing="0" w:after="120" w:afterAutospacing="0"/>
        <w:ind w:left="714" w:hanging="357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>M</w:t>
      </w:r>
      <w:r w:rsidR="00EF1FAE" w:rsidRPr="007805EF">
        <w:rPr>
          <w:rStyle w:val="markedcontent"/>
          <w:sz w:val="22"/>
          <w:szCs w:val="22"/>
          <w:lang w:val="en-GB"/>
        </w:rPr>
        <w:t>ultilevel collaboration is essential to tap the full potential of climate action</w:t>
      </w:r>
      <w:r w:rsidRPr="007805EF">
        <w:rPr>
          <w:rStyle w:val="markedcontent"/>
          <w:sz w:val="22"/>
          <w:szCs w:val="22"/>
          <w:lang w:val="en-GB"/>
        </w:rPr>
        <w:t>. Therefore,</w:t>
      </w:r>
      <w:r w:rsidR="00EF1FAE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 xml:space="preserve">subnational commitments, actions and achievements should be </w:t>
      </w:r>
      <w:r w:rsidR="00FC5856" w:rsidRPr="007805EF">
        <w:rPr>
          <w:rStyle w:val="markedcontent"/>
          <w:sz w:val="22"/>
          <w:szCs w:val="22"/>
          <w:lang w:val="en-GB"/>
        </w:rPr>
        <w:t>integrated</w:t>
      </w:r>
      <w:r w:rsidR="00EF1FAE" w:rsidRPr="007805EF">
        <w:rPr>
          <w:rStyle w:val="markedcontent"/>
          <w:sz w:val="22"/>
          <w:szCs w:val="22"/>
          <w:lang w:val="en-GB"/>
        </w:rPr>
        <w:t xml:space="preserve"> in National Adaptation Plans (NAPs) and NDCs and leveraged in support </w:t>
      </w:r>
      <w:r w:rsidR="00FC5856" w:rsidRPr="007805EF">
        <w:rPr>
          <w:rStyle w:val="markedcontent"/>
          <w:sz w:val="22"/>
          <w:szCs w:val="22"/>
          <w:lang w:val="en-GB"/>
        </w:rPr>
        <w:t>of</w:t>
      </w:r>
      <w:r w:rsidR="0050522C" w:rsidRPr="007805EF">
        <w:rPr>
          <w:rStyle w:val="markedcontent"/>
          <w:sz w:val="22"/>
          <w:szCs w:val="22"/>
          <w:lang w:val="en-GB"/>
        </w:rPr>
        <w:t xml:space="preserve"> </w:t>
      </w:r>
      <w:r w:rsidR="00EF1FAE" w:rsidRPr="007805EF">
        <w:rPr>
          <w:rStyle w:val="markedcontent"/>
          <w:sz w:val="22"/>
          <w:szCs w:val="22"/>
          <w:lang w:val="en-GB"/>
        </w:rPr>
        <w:t>the Global Stocktake</w:t>
      </w:r>
      <w:r w:rsidR="00C34BF8" w:rsidRPr="007805EF">
        <w:rPr>
          <w:rStyle w:val="markedcontent"/>
          <w:sz w:val="22"/>
          <w:szCs w:val="22"/>
          <w:lang w:val="en-GB"/>
        </w:rPr>
        <w:t>.</w:t>
      </w:r>
    </w:p>
    <w:p w14:paraId="47774545" w14:textId="60BCBB43" w:rsidR="00EF1FAE" w:rsidRPr="007805EF" w:rsidRDefault="00EF1FAE" w:rsidP="0050522C">
      <w:pPr>
        <w:pStyle w:val="NormalWeb"/>
        <w:numPr>
          <w:ilvl w:val="0"/>
          <w:numId w:val="22"/>
        </w:numPr>
        <w:spacing w:before="120" w:beforeAutospacing="0" w:after="120" w:afterAutospacing="0"/>
        <w:ind w:left="714" w:hanging="357"/>
        <w:jc w:val="both"/>
        <w:rPr>
          <w:rStyle w:val="markedcontent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Effective consultation and participation of </w:t>
      </w:r>
      <w:r w:rsidR="00FC5856" w:rsidRPr="007805EF">
        <w:rPr>
          <w:rStyle w:val="markedcontent"/>
          <w:sz w:val="22"/>
          <w:szCs w:val="22"/>
          <w:lang w:val="en-GB"/>
        </w:rPr>
        <w:t>LRAs</w:t>
      </w:r>
      <w:r w:rsidR="00E35070" w:rsidRPr="007805EF">
        <w:rPr>
          <w:rStyle w:val="markedcontent"/>
          <w:sz w:val="22"/>
          <w:szCs w:val="22"/>
          <w:lang w:val="en-GB"/>
        </w:rPr>
        <w:t xml:space="preserve"> in </w:t>
      </w:r>
      <w:r w:rsidRPr="007805EF">
        <w:rPr>
          <w:rStyle w:val="markedcontent"/>
          <w:sz w:val="22"/>
          <w:szCs w:val="22"/>
          <w:lang w:val="en-GB"/>
        </w:rPr>
        <w:t xml:space="preserve">COP28 </w:t>
      </w:r>
      <w:r w:rsidR="00E35070" w:rsidRPr="007805EF">
        <w:rPr>
          <w:rStyle w:val="markedcontent"/>
          <w:sz w:val="22"/>
          <w:szCs w:val="22"/>
          <w:lang w:val="en-GB"/>
        </w:rPr>
        <w:t xml:space="preserve">processes </w:t>
      </w:r>
      <w:r w:rsidRPr="007805EF">
        <w:rPr>
          <w:rStyle w:val="markedcontent"/>
          <w:sz w:val="22"/>
          <w:szCs w:val="22"/>
          <w:lang w:val="en-GB"/>
        </w:rPr>
        <w:t>should be facilitated</w:t>
      </w:r>
      <w:r w:rsidR="00FC5856" w:rsidRPr="007805EF">
        <w:rPr>
          <w:rStyle w:val="markedcontent"/>
          <w:sz w:val="22"/>
          <w:szCs w:val="22"/>
          <w:lang w:val="en-GB"/>
        </w:rPr>
        <w:t>. By doing so, negotiators c</w:t>
      </w:r>
      <w:r w:rsidR="00BC603B" w:rsidRPr="007805EF">
        <w:rPr>
          <w:rStyle w:val="markedcontent"/>
          <w:sz w:val="22"/>
          <w:szCs w:val="22"/>
          <w:lang w:val="en-GB"/>
        </w:rPr>
        <w:t>ould</w:t>
      </w:r>
      <w:r w:rsidR="00FC5856" w:rsidRPr="007805EF">
        <w:rPr>
          <w:rStyle w:val="markedcontent"/>
          <w:sz w:val="22"/>
          <w:szCs w:val="22"/>
          <w:lang w:val="en-GB"/>
        </w:rPr>
        <w:t xml:space="preserve"> leverage the expertise and resources of local and regional actors, while</w:t>
      </w:r>
      <w:r w:rsidRPr="007805EF">
        <w:rPr>
          <w:rStyle w:val="markedcontent"/>
          <w:sz w:val="22"/>
          <w:szCs w:val="22"/>
          <w:lang w:val="en-GB"/>
        </w:rPr>
        <w:t xml:space="preserve"> ensur</w:t>
      </w:r>
      <w:r w:rsidR="00FC5856" w:rsidRPr="007805EF">
        <w:rPr>
          <w:rStyle w:val="markedcontent"/>
          <w:sz w:val="22"/>
          <w:szCs w:val="22"/>
          <w:lang w:val="en-GB"/>
        </w:rPr>
        <w:t>ing</w:t>
      </w:r>
      <w:r w:rsidRPr="007805EF">
        <w:rPr>
          <w:rStyle w:val="markedcontent"/>
          <w:sz w:val="22"/>
          <w:szCs w:val="22"/>
          <w:lang w:val="en-GB"/>
        </w:rPr>
        <w:t xml:space="preserve"> </w:t>
      </w:r>
      <w:r w:rsidR="000F3831" w:rsidRPr="007805EF">
        <w:rPr>
          <w:rStyle w:val="markedcontent"/>
          <w:sz w:val="22"/>
          <w:szCs w:val="22"/>
          <w:lang w:val="en-GB"/>
        </w:rPr>
        <w:t xml:space="preserve">that </w:t>
      </w:r>
      <w:r w:rsidR="00FC5856" w:rsidRPr="007805EF">
        <w:rPr>
          <w:rStyle w:val="markedcontent"/>
          <w:sz w:val="22"/>
          <w:szCs w:val="22"/>
          <w:lang w:val="en-GB"/>
        </w:rPr>
        <w:t xml:space="preserve">these </w:t>
      </w:r>
      <w:r w:rsidR="00E35070" w:rsidRPr="007805EF">
        <w:rPr>
          <w:rStyle w:val="markedcontent"/>
          <w:sz w:val="22"/>
          <w:szCs w:val="22"/>
          <w:lang w:val="en-GB"/>
        </w:rPr>
        <w:t xml:space="preserve">actors </w:t>
      </w:r>
      <w:r w:rsidR="00FC5856" w:rsidRPr="007805EF">
        <w:rPr>
          <w:rStyle w:val="markedcontent"/>
          <w:sz w:val="22"/>
          <w:szCs w:val="22"/>
          <w:lang w:val="en-GB"/>
        </w:rPr>
        <w:t xml:space="preserve">have the </w:t>
      </w:r>
      <w:r w:rsidRPr="007805EF">
        <w:rPr>
          <w:rStyle w:val="markedcontent"/>
          <w:sz w:val="22"/>
          <w:szCs w:val="22"/>
          <w:lang w:val="en-GB"/>
        </w:rPr>
        <w:t xml:space="preserve">adequate capacity and </w:t>
      </w:r>
      <w:r w:rsidR="00C72451">
        <w:rPr>
          <w:rStyle w:val="markedcontent"/>
          <w:sz w:val="22"/>
          <w:szCs w:val="22"/>
          <w:lang w:val="en-GB"/>
        </w:rPr>
        <w:t xml:space="preserve">financial </w:t>
      </w:r>
      <w:r w:rsidRPr="007805EF">
        <w:rPr>
          <w:rStyle w:val="markedcontent"/>
          <w:sz w:val="22"/>
          <w:szCs w:val="22"/>
          <w:lang w:val="en-GB"/>
        </w:rPr>
        <w:t xml:space="preserve">resources to </w:t>
      </w:r>
      <w:r w:rsidR="00FC5856" w:rsidRPr="007805EF">
        <w:rPr>
          <w:rStyle w:val="markedcontent"/>
          <w:sz w:val="22"/>
          <w:szCs w:val="22"/>
          <w:lang w:val="en-GB"/>
        </w:rPr>
        <w:t>drive</w:t>
      </w:r>
      <w:r w:rsidR="000F3831" w:rsidRPr="007805EF">
        <w:rPr>
          <w:rStyle w:val="markedcontent"/>
          <w:sz w:val="22"/>
          <w:szCs w:val="22"/>
          <w:lang w:val="en-GB"/>
        </w:rPr>
        <w:t xml:space="preserve"> implement</w:t>
      </w:r>
      <w:r w:rsidR="00FC5856" w:rsidRPr="007805EF">
        <w:rPr>
          <w:rStyle w:val="markedcontent"/>
          <w:sz w:val="22"/>
          <w:szCs w:val="22"/>
          <w:lang w:val="en-GB"/>
        </w:rPr>
        <w:t>ation</w:t>
      </w:r>
      <w:r w:rsidR="000F3831" w:rsidRPr="007805EF">
        <w:rPr>
          <w:rStyle w:val="markedcontent"/>
          <w:sz w:val="22"/>
          <w:szCs w:val="22"/>
          <w:lang w:val="en-GB"/>
        </w:rPr>
        <w:t>.</w:t>
      </w:r>
    </w:p>
    <w:p w14:paraId="45A94C18" w14:textId="480A51A3" w:rsidR="00EF1FAE" w:rsidRPr="007805EF" w:rsidRDefault="00EF1FAE" w:rsidP="00EF1FAE">
      <w:pPr>
        <w:pStyle w:val="NormalWeb"/>
        <w:jc w:val="both"/>
        <w:rPr>
          <w:rStyle w:val="markedcontent"/>
          <w:b/>
          <w:i/>
          <w:sz w:val="22"/>
          <w:szCs w:val="22"/>
          <w:lang w:val="en-GB"/>
        </w:rPr>
      </w:pPr>
      <w:r w:rsidRPr="007805EF">
        <w:rPr>
          <w:rStyle w:val="markedcontent"/>
          <w:b/>
          <w:i/>
          <w:sz w:val="22"/>
          <w:szCs w:val="22"/>
          <w:lang w:val="en-GB"/>
        </w:rPr>
        <w:t>From recognition to partnerships - delivering on multilevel action at COP28</w:t>
      </w:r>
    </w:p>
    <w:p w14:paraId="46E1D529" w14:textId="3A6782A1" w:rsidR="00EF1FAE" w:rsidRPr="007805EF" w:rsidRDefault="00EF1FAE" w:rsidP="00EF1FAE">
      <w:pPr>
        <w:pStyle w:val="NormalWeb"/>
        <w:jc w:val="both"/>
        <w:rPr>
          <w:sz w:val="22"/>
          <w:szCs w:val="22"/>
          <w:lang w:val="en-IE"/>
        </w:rPr>
      </w:pPr>
      <w:r w:rsidRPr="007805EF">
        <w:rPr>
          <w:sz w:val="22"/>
          <w:szCs w:val="22"/>
          <w:lang w:val="en-GB"/>
        </w:rPr>
        <w:t xml:space="preserve">The </w:t>
      </w:r>
      <w:r w:rsidR="00A16EB6">
        <w:rPr>
          <w:sz w:val="22"/>
          <w:szCs w:val="22"/>
          <w:lang w:val="en-GB"/>
        </w:rPr>
        <w:t xml:space="preserve">COP26 </w:t>
      </w:r>
      <w:hyperlink r:id="rId18" w:history="1">
        <w:r w:rsidRPr="00A16EB6">
          <w:rPr>
            <w:rStyle w:val="Lienhypertexte"/>
            <w:sz w:val="22"/>
            <w:szCs w:val="22"/>
            <w:lang w:val="en-GB"/>
          </w:rPr>
          <w:t>Glasgow Climate Pact</w:t>
        </w:r>
      </w:hyperlink>
      <w:r w:rsidRPr="007805EF">
        <w:rPr>
          <w:sz w:val="22"/>
          <w:szCs w:val="22"/>
          <w:lang w:val="en-GB"/>
        </w:rPr>
        <w:t xml:space="preserve"> marked </w:t>
      </w:r>
      <w:r w:rsidR="00A6346B" w:rsidRPr="007805EF">
        <w:rPr>
          <w:sz w:val="22"/>
          <w:szCs w:val="22"/>
          <w:lang w:val="en-GB"/>
        </w:rPr>
        <w:t xml:space="preserve">a significant milestone in acknowledging the role of subnational </w:t>
      </w:r>
      <w:r w:rsidRPr="007805EF">
        <w:rPr>
          <w:sz w:val="22"/>
          <w:szCs w:val="22"/>
          <w:lang w:val="en-GB"/>
        </w:rPr>
        <w:t xml:space="preserve">governments </w:t>
      </w:r>
      <w:r w:rsidR="00A6346B" w:rsidRPr="007805EF">
        <w:rPr>
          <w:sz w:val="22"/>
          <w:szCs w:val="22"/>
          <w:lang w:val="en-GB"/>
        </w:rPr>
        <w:t>in combatting and adapting to climate change</w:t>
      </w:r>
      <w:r w:rsidR="00DC03F5" w:rsidRPr="007805EF">
        <w:rPr>
          <w:sz w:val="22"/>
          <w:szCs w:val="22"/>
          <w:lang w:val="en-GB"/>
        </w:rPr>
        <w:t>.</w:t>
      </w:r>
      <w:r w:rsidR="00A6346B" w:rsidRPr="007805EF">
        <w:rPr>
          <w:sz w:val="22"/>
          <w:szCs w:val="22"/>
          <w:lang w:val="en-GB"/>
        </w:rPr>
        <w:t xml:space="preserve"> F</w:t>
      </w:r>
      <w:r w:rsidRPr="007805EF">
        <w:rPr>
          <w:sz w:val="22"/>
          <w:szCs w:val="22"/>
          <w:lang w:val="en-GB"/>
        </w:rPr>
        <w:t>or the first</w:t>
      </w:r>
      <w:r w:rsidR="00C55233" w:rsidRPr="007805EF">
        <w:rPr>
          <w:sz w:val="22"/>
          <w:szCs w:val="22"/>
          <w:lang w:val="en-GB"/>
        </w:rPr>
        <w:t xml:space="preserve"> time</w:t>
      </w:r>
      <w:r w:rsidR="00A6346B" w:rsidRPr="007805EF">
        <w:rPr>
          <w:sz w:val="22"/>
          <w:szCs w:val="22"/>
          <w:lang w:val="en-GB"/>
        </w:rPr>
        <w:t xml:space="preserve">, the </w:t>
      </w:r>
      <w:r w:rsidR="00DC03F5" w:rsidRPr="007805EF">
        <w:rPr>
          <w:sz w:val="22"/>
          <w:szCs w:val="22"/>
          <w:lang w:val="en-GB"/>
        </w:rPr>
        <w:t>P</w:t>
      </w:r>
      <w:r w:rsidR="00A6346B" w:rsidRPr="007805EF">
        <w:rPr>
          <w:sz w:val="22"/>
          <w:szCs w:val="22"/>
          <w:lang w:val="en-GB"/>
        </w:rPr>
        <w:t xml:space="preserve">act included </w:t>
      </w:r>
      <w:r w:rsidRPr="007805EF">
        <w:rPr>
          <w:sz w:val="22"/>
          <w:szCs w:val="22"/>
          <w:lang w:val="en-GB"/>
        </w:rPr>
        <w:t>a vision for multilevel and cooperative action and recogni</w:t>
      </w:r>
      <w:r w:rsidR="00FA5CF1" w:rsidRPr="007805EF">
        <w:rPr>
          <w:sz w:val="22"/>
          <w:szCs w:val="22"/>
          <w:lang w:val="en-GB"/>
        </w:rPr>
        <w:t>sed</w:t>
      </w:r>
      <w:r w:rsidRPr="007805EF">
        <w:rPr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>the important role of non-</w:t>
      </w:r>
      <w:r w:rsidR="00154EAE" w:rsidRPr="007805EF">
        <w:rPr>
          <w:rStyle w:val="markedcontent"/>
          <w:sz w:val="22"/>
          <w:szCs w:val="22"/>
          <w:lang w:val="en-GB"/>
        </w:rPr>
        <w:t>p</w:t>
      </w:r>
      <w:r w:rsidRPr="007805EF">
        <w:rPr>
          <w:rStyle w:val="markedcontent"/>
          <w:sz w:val="22"/>
          <w:szCs w:val="22"/>
          <w:lang w:val="en-GB"/>
        </w:rPr>
        <w:t>arty stakeholders</w:t>
      </w:r>
      <w:r w:rsidR="000423BB" w:rsidRPr="007805EF">
        <w:rPr>
          <w:rStyle w:val="markedcontent"/>
          <w:sz w:val="22"/>
          <w:szCs w:val="22"/>
          <w:lang w:val="en-GB"/>
        </w:rPr>
        <w:t xml:space="preserve">, </w:t>
      </w:r>
      <w:r w:rsidRPr="007805EF">
        <w:rPr>
          <w:rStyle w:val="markedcontent"/>
          <w:sz w:val="22"/>
          <w:szCs w:val="22"/>
          <w:lang w:val="en-GB"/>
        </w:rPr>
        <w:t>including local and regional governments</w:t>
      </w:r>
      <w:r w:rsidR="000423BB" w:rsidRPr="007805EF">
        <w:rPr>
          <w:rStyle w:val="markedcontent"/>
          <w:sz w:val="22"/>
          <w:szCs w:val="22"/>
          <w:lang w:val="en-GB"/>
        </w:rPr>
        <w:t>,</w:t>
      </w:r>
      <w:r w:rsidRPr="007805EF">
        <w:rPr>
          <w:rStyle w:val="markedcontent"/>
          <w:sz w:val="22"/>
          <w:szCs w:val="22"/>
          <w:lang w:val="en-GB"/>
        </w:rPr>
        <w:t xml:space="preserve"> in </w:t>
      </w:r>
      <w:r w:rsidR="00F6427C" w:rsidRPr="007805EF">
        <w:rPr>
          <w:rStyle w:val="markedcontent"/>
          <w:sz w:val="22"/>
          <w:szCs w:val="22"/>
          <w:lang w:val="en-GB"/>
        </w:rPr>
        <w:t xml:space="preserve">working </w:t>
      </w:r>
      <w:r w:rsidRPr="007805EF">
        <w:rPr>
          <w:rStyle w:val="markedcontent"/>
          <w:sz w:val="22"/>
          <w:szCs w:val="22"/>
          <w:lang w:val="en-GB"/>
        </w:rPr>
        <w:t xml:space="preserve">towards </w:t>
      </w:r>
      <w:r w:rsidRPr="007805EF">
        <w:rPr>
          <w:rStyle w:val="markedcontent"/>
          <w:sz w:val="22"/>
          <w:szCs w:val="22"/>
          <w:lang w:val="en-IE"/>
        </w:rPr>
        <w:t>the goals of the Paris Agreement.</w:t>
      </w:r>
      <w:r w:rsidR="00A6346B" w:rsidRPr="007805EF">
        <w:rPr>
          <w:sz w:val="22"/>
          <w:szCs w:val="22"/>
          <w:lang w:val="en-IE"/>
        </w:rPr>
        <w:t xml:space="preserve"> Additionally, the COP27 </w:t>
      </w:r>
      <w:hyperlink r:id="rId19" w:history="1">
        <w:r w:rsidR="00A6346B" w:rsidRPr="007805EF">
          <w:rPr>
            <w:rStyle w:val="Lienhypertexte"/>
            <w:sz w:val="22"/>
            <w:szCs w:val="22"/>
            <w:lang w:val="en-IE"/>
          </w:rPr>
          <w:t>Sharm el-Sheikh Implementation Plan</w:t>
        </w:r>
      </w:hyperlink>
      <w:r w:rsidR="00A6346B" w:rsidRPr="007805EF">
        <w:rPr>
          <w:sz w:val="22"/>
          <w:szCs w:val="22"/>
          <w:lang w:val="en-IE"/>
        </w:rPr>
        <w:t xml:space="preserve"> </w:t>
      </w:r>
      <w:r w:rsidR="00FA5CF1" w:rsidRPr="007805EF">
        <w:rPr>
          <w:sz w:val="22"/>
          <w:szCs w:val="22"/>
          <w:lang w:val="en-IE"/>
        </w:rPr>
        <w:t>re-emphasi</w:t>
      </w:r>
      <w:r w:rsidR="00F819E2" w:rsidRPr="007805EF">
        <w:rPr>
          <w:sz w:val="22"/>
          <w:szCs w:val="22"/>
          <w:lang w:val="en-IE"/>
        </w:rPr>
        <w:t>s</w:t>
      </w:r>
      <w:r w:rsidR="00FA5CF1" w:rsidRPr="007805EF">
        <w:rPr>
          <w:sz w:val="22"/>
          <w:szCs w:val="22"/>
          <w:lang w:val="en-IE"/>
        </w:rPr>
        <w:t xml:space="preserve">ed </w:t>
      </w:r>
      <w:r w:rsidR="00A6346B" w:rsidRPr="007805EF">
        <w:rPr>
          <w:sz w:val="22"/>
          <w:szCs w:val="22"/>
          <w:lang w:val="en-IE"/>
        </w:rPr>
        <w:t>th</w:t>
      </w:r>
      <w:r w:rsidR="000423BB" w:rsidRPr="007805EF">
        <w:rPr>
          <w:sz w:val="22"/>
          <w:szCs w:val="22"/>
          <w:lang w:val="en-IE"/>
        </w:rPr>
        <w:t>e</w:t>
      </w:r>
      <w:r w:rsidR="00D308DA">
        <w:rPr>
          <w:sz w:val="22"/>
          <w:szCs w:val="22"/>
          <w:lang w:val="en-IE"/>
        </w:rPr>
        <w:t xml:space="preserve"> urgent</w:t>
      </w:r>
      <w:r w:rsidR="00A6346B" w:rsidRPr="007805EF">
        <w:rPr>
          <w:sz w:val="22"/>
          <w:szCs w:val="22"/>
          <w:lang w:val="en-IE"/>
        </w:rPr>
        <w:t xml:space="preserve"> need for multilevel and cooperative action.</w:t>
      </w:r>
    </w:p>
    <w:p w14:paraId="60BB60B5" w14:textId="6C1A079D" w:rsidR="00EF1FAE" w:rsidRPr="007805EF" w:rsidRDefault="001D5F12" w:rsidP="00EF1FAE">
      <w:pPr>
        <w:pStyle w:val="NormalWeb"/>
        <w:jc w:val="both"/>
        <w:rPr>
          <w:sz w:val="22"/>
          <w:szCs w:val="22"/>
          <w:lang w:val="en-IE"/>
        </w:rPr>
      </w:pPr>
      <w:r w:rsidRPr="007805EF">
        <w:rPr>
          <w:sz w:val="22"/>
          <w:szCs w:val="22"/>
          <w:lang w:val="en-IE"/>
        </w:rPr>
        <w:t xml:space="preserve">The COP27 decisions on mitigation ambition were perceived by subnational governments as falling short of bringing enough efforts to increase and accelerate the reduction of </w:t>
      </w:r>
      <w:r w:rsidR="00D308DA">
        <w:rPr>
          <w:sz w:val="22"/>
          <w:szCs w:val="22"/>
          <w:lang w:val="en-IE"/>
        </w:rPr>
        <w:t xml:space="preserve">GHG </w:t>
      </w:r>
      <w:r w:rsidRPr="007805EF">
        <w:rPr>
          <w:sz w:val="22"/>
          <w:szCs w:val="22"/>
          <w:lang w:val="en-IE"/>
        </w:rPr>
        <w:t>emissions.</w:t>
      </w:r>
      <w:r w:rsidR="00EF1FAE" w:rsidRPr="007805EF">
        <w:rPr>
          <w:sz w:val="22"/>
          <w:szCs w:val="22"/>
          <w:lang w:val="en-IE"/>
        </w:rPr>
        <w:t xml:space="preserve"> </w:t>
      </w:r>
      <w:r w:rsidRPr="007805EF">
        <w:rPr>
          <w:sz w:val="22"/>
          <w:szCs w:val="22"/>
          <w:lang w:val="en-IE"/>
        </w:rPr>
        <w:t xml:space="preserve">In this context, </w:t>
      </w:r>
      <w:r w:rsidR="00EF1FAE" w:rsidRPr="007805EF">
        <w:rPr>
          <w:sz w:val="22"/>
          <w:szCs w:val="22"/>
          <w:lang w:val="en-IE"/>
        </w:rPr>
        <w:t xml:space="preserve">the need for </w:t>
      </w:r>
      <w:r w:rsidRPr="007805EF">
        <w:rPr>
          <w:sz w:val="22"/>
          <w:szCs w:val="22"/>
          <w:lang w:val="en-IE"/>
        </w:rPr>
        <w:t>multilevel action</w:t>
      </w:r>
      <w:r w:rsidR="00EF1FAE" w:rsidRPr="007805EF">
        <w:rPr>
          <w:sz w:val="22"/>
          <w:szCs w:val="22"/>
          <w:lang w:val="en-IE"/>
        </w:rPr>
        <w:t xml:space="preserve"> </w:t>
      </w:r>
      <w:r w:rsidR="007C05F5" w:rsidRPr="007805EF">
        <w:rPr>
          <w:sz w:val="22"/>
          <w:szCs w:val="22"/>
          <w:lang w:val="en-IE"/>
        </w:rPr>
        <w:t xml:space="preserve">is </w:t>
      </w:r>
      <w:r w:rsidR="00EF1FAE" w:rsidRPr="007805EF">
        <w:rPr>
          <w:sz w:val="22"/>
          <w:szCs w:val="22"/>
          <w:lang w:val="en-IE"/>
        </w:rPr>
        <w:t>eve</w:t>
      </w:r>
      <w:r w:rsidR="00916DFD" w:rsidRPr="007805EF">
        <w:rPr>
          <w:sz w:val="22"/>
          <w:szCs w:val="22"/>
          <w:lang w:val="en-IE"/>
        </w:rPr>
        <w:t>n</w:t>
      </w:r>
      <w:r w:rsidR="00EF1FAE" w:rsidRPr="007805EF">
        <w:rPr>
          <w:sz w:val="22"/>
          <w:szCs w:val="22"/>
          <w:lang w:val="en-IE"/>
        </w:rPr>
        <w:t xml:space="preserve"> </w:t>
      </w:r>
      <w:r w:rsidR="00916DFD" w:rsidRPr="007805EF">
        <w:rPr>
          <w:sz w:val="22"/>
          <w:szCs w:val="22"/>
          <w:lang w:val="en-IE"/>
        </w:rPr>
        <w:t>more urgent</w:t>
      </w:r>
      <w:r w:rsidR="00EF1FAE" w:rsidRPr="007805EF">
        <w:rPr>
          <w:sz w:val="22"/>
          <w:szCs w:val="22"/>
          <w:lang w:val="en-IE"/>
        </w:rPr>
        <w:t xml:space="preserve">. </w:t>
      </w:r>
      <w:r w:rsidR="00C51F7F" w:rsidRPr="007805EF">
        <w:rPr>
          <w:sz w:val="22"/>
          <w:szCs w:val="22"/>
          <w:lang w:val="en-IE"/>
        </w:rPr>
        <w:t xml:space="preserve">Subnational </w:t>
      </w:r>
      <w:r w:rsidR="00EF1FAE" w:rsidRPr="007805EF">
        <w:rPr>
          <w:sz w:val="22"/>
          <w:szCs w:val="22"/>
          <w:lang w:val="en-IE"/>
        </w:rPr>
        <w:t xml:space="preserve">governments have been </w:t>
      </w:r>
      <w:r w:rsidR="005070ED" w:rsidRPr="007805EF">
        <w:rPr>
          <w:sz w:val="22"/>
          <w:szCs w:val="22"/>
          <w:lang w:val="en-IE"/>
        </w:rPr>
        <w:t xml:space="preserve">working </w:t>
      </w:r>
      <w:r w:rsidR="00EF1FAE" w:rsidRPr="007805EF">
        <w:rPr>
          <w:sz w:val="22"/>
          <w:szCs w:val="22"/>
          <w:lang w:val="en-IE"/>
        </w:rPr>
        <w:t xml:space="preserve">steadily toward climate neutrality through initiatives such as the </w:t>
      </w:r>
      <w:hyperlink r:id="rId20" w:history="1">
        <w:r w:rsidR="00EF1FAE" w:rsidRPr="007805EF">
          <w:rPr>
            <w:rStyle w:val="Lienhypertexte"/>
            <w:sz w:val="22"/>
            <w:szCs w:val="22"/>
            <w:lang w:val="en-IE"/>
          </w:rPr>
          <w:t>Race-To-Zero</w:t>
        </w:r>
      </w:hyperlink>
      <w:r w:rsidR="00EF1FAE" w:rsidRPr="007805EF">
        <w:rPr>
          <w:sz w:val="22"/>
          <w:szCs w:val="22"/>
          <w:lang w:val="en-IE"/>
        </w:rPr>
        <w:t xml:space="preserve">, </w:t>
      </w:r>
      <w:hyperlink r:id="rId21" w:history="1">
        <w:r w:rsidR="00EF1FAE" w:rsidRPr="007805EF">
          <w:rPr>
            <w:rStyle w:val="Lienhypertexte"/>
            <w:sz w:val="22"/>
            <w:szCs w:val="22"/>
            <w:lang w:val="en-IE"/>
          </w:rPr>
          <w:t>Race-To-Resilience</w:t>
        </w:r>
      </w:hyperlink>
      <w:r w:rsidR="00C81047" w:rsidRPr="007805EF">
        <w:rPr>
          <w:rStyle w:val="Lienhypertexte"/>
          <w:sz w:val="22"/>
          <w:szCs w:val="22"/>
          <w:lang w:val="en-IE"/>
        </w:rPr>
        <w:t>,</w:t>
      </w:r>
      <w:r w:rsidR="00C90F1B" w:rsidRPr="007805EF">
        <w:rPr>
          <w:sz w:val="22"/>
          <w:szCs w:val="22"/>
          <w:lang w:val="en-IE"/>
        </w:rPr>
        <w:t xml:space="preserve"> the Mission Innovation’s </w:t>
      </w:r>
      <w:hyperlink r:id="rId22" w:history="1">
        <w:r w:rsidR="00C90F1B" w:rsidRPr="007805EF">
          <w:rPr>
            <w:rStyle w:val="Lienhypertexte"/>
            <w:sz w:val="22"/>
            <w:szCs w:val="22"/>
            <w:lang w:val="en-IE"/>
          </w:rPr>
          <w:t>Urban Transitions Mission</w:t>
        </w:r>
      </w:hyperlink>
      <w:r w:rsidR="00EF1FAE" w:rsidRPr="007805EF">
        <w:rPr>
          <w:sz w:val="22"/>
          <w:szCs w:val="22"/>
          <w:lang w:val="en-IE"/>
        </w:rPr>
        <w:t xml:space="preserve"> and </w:t>
      </w:r>
      <w:hyperlink r:id="rId23" w:history="1">
        <w:r w:rsidR="00EF1FAE" w:rsidRPr="00A840F4">
          <w:rPr>
            <w:rStyle w:val="Lienhypertexte"/>
            <w:sz w:val="22"/>
            <w:szCs w:val="22"/>
            <w:lang w:val="en-IE"/>
          </w:rPr>
          <w:t>Climate Action Pathways</w:t>
        </w:r>
      </w:hyperlink>
      <w:r w:rsidR="00EF1FAE" w:rsidRPr="007805EF">
        <w:rPr>
          <w:sz w:val="22"/>
          <w:szCs w:val="22"/>
          <w:lang w:val="en-IE"/>
        </w:rPr>
        <w:t xml:space="preserve">. </w:t>
      </w:r>
      <w:r w:rsidRPr="007805EF">
        <w:rPr>
          <w:sz w:val="22"/>
          <w:szCs w:val="22"/>
          <w:lang w:val="en-IE"/>
        </w:rPr>
        <w:t>In the EU,</w:t>
      </w:r>
      <w:r w:rsidR="0077041E" w:rsidRPr="007805EF">
        <w:rPr>
          <w:sz w:val="22"/>
          <w:szCs w:val="22"/>
          <w:lang w:val="en-IE"/>
        </w:rPr>
        <w:t xml:space="preserve"> </w:t>
      </w:r>
      <w:r w:rsidR="000423BB" w:rsidRPr="007805EF">
        <w:rPr>
          <w:sz w:val="22"/>
          <w:szCs w:val="22"/>
          <w:lang w:val="en-IE"/>
        </w:rPr>
        <w:t>LRAs</w:t>
      </w:r>
      <w:r w:rsidR="0077041E" w:rsidRPr="007805EF">
        <w:rPr>
          <w:sz w:val="22"/>
          <w:szCs w:val="22"/>
          <w:lang w:val="en-IE"/>
        </w:rPr>
        <w:t xml:space="preserve"> in the Covenant of Mayors </w:t>
      </w:r>
      <w:r w:rsidR="005070ED" w:rsidRPr="007805EF">
        <w:rPr>
          <w:sz w:val="22"/>
          <w:szCs w:val="22"/>
          <w:lang w:val="en-IE"/>
        </w:rPr>
        <w:t>–</w:t>
      </w:r>
      <w:r w:rsidR="0077041E" w:rsidRPr="007805EF">
        <w:rPr>
          <w:sz w:val="22"/>
          <w:szCs w:val="22"/>
          <w:lang w:val="en-IE"/>
        </w:rPr>
        <w:t xml:space="preserve"> </w:t>
      </w:r>
      <w:r w:rsidR="005070ED" w:rsidRPr="007805EF">
        <w:rPr>
          <w:sz w:val="22"/>
          <w:szCs w:val="22"/>
          <w:lang w:val="en-IE"/>
        </w:rPr>
        <w:t>which comprises 11 000 municipalities</w:t>
      </w:r>
      <w:r w:rsidR="00C81047" w:rsidRPr="007805EF">
        <w:rPr>
          <w:sz w:val="22"/>
          <w:szCs w:val="22"/>
          <w:lang w:val="en-IE"/>
        </w:rPr>
        <w:t xml:space="preserve"> </w:t>
      </w:r>
      <w:r w:rsidR="0077041E" w:rsidRPr="007805EF">
        <w:rPr>
          <w:sz w:val="22"/>
          <w:szCs w:val="22"/>
          <w:lang w:val="en-IE"/>
        </w:rPr>
        <w:t xml:space="preserve">– and in the </w:t>
      </w:r>
      <w:r w:rsidR="000423BB" w:rsidRPr="007805EF">
        <w:rPr>
          <w:sz w:val="22"/>
          <w:szCs w:val="22"/>
          <w:lang w:val="en-IE"/>
        </w:rPr>
        <w:t xml:space="preserve">Horizon </w:t>
      </w:r>
      <w:hyperlink r:id="rId24" w:history="1">
        <w:r w:rsidR="00C86D7A" w:rsidRPr="00A840F4">
          <w:rPr>
            <w:rStyle w:val="Lienhypertexte"/>
            <w:sz w:val="22"/>
            <w:szCs w:val="22"/>
            <w:lang w:val="en-IE"/>
          </w:rPr>
          <w:t>Mission on 100 Climate</w:t>
        </w:r>
        <w:r w:rsidR="003C1563" w:rsidRPr="00A840F4">
          <w:rPr>
            <w:rStyle w:val="Lienhypertexte"/>
            <w:sz w:val="22"/>
            <w:szCs w:val="22"/>
            <w:lang w:val="en-IE"/>
          </w:rPr>
          <w:t>-</w:t>
        </w:r>
        <w:r w:rsidR="00C86D7A" w:rsidRPr="00A840F4">
          <w:rPr>
            <w:rStyle w:val="Lienhypertexte"/>
            <w:sz w:val="22"/>
            <w:szCs w:val="22"/>
            <w:lang w:val="en-IE"/>
          </w:rPr>
          <w:t>Neutral and Smart Cities</w:t>
        </w:r>
      </w:hyperlink>
      <w:r w:rsidR="00C86D7A" w:rsidRPr="007805EF">
        <w:rPr>
          <w:sz w:val="22"/>
          <w:szCs w:val="22"/>
          <w:lang w:val="en-IE"/>
        </w:rPr>
        <w:t xml:space="preserve"> </w:t>
      </w:r>
      <w:r w:rsidR="005070ED" w:rsidRPr="007805EF">
        <w:rPr>
          <w:sz w:val="22"/>
          <w:szCs w:val="22"/>
          <w:lang w:val="en-IE"/>
        </w:rPr>
        <w:t xml:space="preserve">serve as </w:t>
      </w:r>
      <w:r w:rsidR="0077041E" w:rsidRPr="007805EF">
        <w:rPr>
          <w:sz w:val="22"/>
          <w:szCs w:val="22"/>
          <w:lang w:val="en-IE"/>
        </w:rPr>
        <w:t xml:space="preserve">examples that </w:t>
      </w:r>
      <w:r w:rsidR="00F02D9D" w:rsidRPr="007805EF">
        <w:rPr>
          <w:sz w:val="22"/>
          <w:szCs w:val="22"/>
          <w:lang w:val="en-IE"/>
        </w:rPr>
        <w:t>subnational governments</w:t>
      </w:r>
      <w:r w:rsidR="0077041E" w:rsidRPr="007805EF">
        <w:rPr>
          <w:sz w:val="22"/>
          <w:szCs w:val="22"/>
          <w:lang w:val="en-IE"/>
        </w:rPr>
        <w:t xml:space="preserve"> around the </w:t>
      </w:r>
      <w:r w:rsidR="005070ED" w:rsidRPr="007805EF">
        <w:rPr>
          <w:sz w:val="22"/>
          <w:szCs w:val="22"/>
          <w:lang w:val="en-IE"/>
        </w:rPr>
        <w:t>world</w:t>
      </w:r>
      <w:r w:rsidR="0077041E" w:rsidRPr="007805EF">
        <w:rPr>
          <w:sz w:val="22"/>
          <w:szCs w:val="22"/>
          <w:lang w:val="en-IE"/>
        </w:rPr>
        <w:t xml:space="preserve"> can become climate-neutral by 2050.</w:t>
      </w:r>
    </w:p>
    <w:p w14:paraId="38D2AB0E" w14:textId="1FF4C8B3" w:rsidR="00C90F1B" w:rsidRPr="007805EF" w:rsidRDefault="00D308DA" w:rsidP="00EF1FAE">
      <w:pPr>
        <w:pStyle w:val="NormalWeb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IE"/>
        </w:rPr>
        <w:lastRenderedPageBreak/>
        <w:t>This shows that l</w:t>
      </w:r>
      <w:r w:rsidR="00EF1FAE" w:rsidRPr="007805EF">
        <w:rPr>
          <w:sz w:val="22"/>
          <w:szCs w:val="22"/>
          <w:lang w:val="en-IE"/>
        </w:rPr>
        <w:t>ocal</w:t>
      </w:r>
      <w:r w:rsidR="00410F62" w:rsidRPr="007805EF">
        <w:rPr>
          <w:sz w:val="22"/>
          <w:szCs w:val="22"/>
          <w:lang w:val="en-IE"/>
        </w:rPr>
        <w:t xml:space="preserve"> and regional</w:t>
      </w:r>
      <w:r w:rsidR="00EF1FAE" w:rsidRPr="007805EF">
        <w:rPr>
          <w:sz w:val="22"/>
          <w:szCs w:val="22"/>
          <w:lang w:val="en-IE"/>
        </w:rPr>
        <w:t xml:space="preserve"> climate plans must be taken into account and supported,</w:t>
      </w:r>
      <w:r w:rsidR="00A840F4">
        <w:rPr>
          <w:sz w:val="22"/>
          <w:szCs w:val="22"/>
          <w:lang w:val="en-IE"/>
        </w:rPr>
        <w:t xml:space="preserve"> in order </w:t>
      </w:r>
      <w:r w:rsidR="00EF1FAE" w:rsidRPr="007805EF">
        <w:rPr>
          <w:sz w:val="22"/>
          <w:szCs w:val="22"/>
          <w:lang w:val="en-IE"/>
        </w:rPr>
        <w:t xml:space="preserve">to complement and strengthen </w:t>
      </w:r>
      <w:r w:rsidR="00D5316C" w:rsidRPr="007805EF">
        <w:rPr>
          <w:sz w:val="22"/>
          <w:szCs w:val="22"/>
          <w:lang w:val="en-IE"/>
        </w:rPr>
        <w:t xml:space="preserve">the </w:t>
      </w:r>
      <w:r w:rsidR="00EF1FAE" w:rsidRPr="007805EF">
        <w:rPr>
          <w:sz w:val="22"/>
          <w:szCs w:val="22"/>
          <w:lang w:val="en-IE"/>
        </w:rPr>
        <w:t xml:space="preserve">effectiveness and transparency of global climate action. The importance of multilevel governance in the fulfilment of NDCs and NAPs should be highlighted in the Global Stocktake by openly </w:t>
      </w:r>
      <w:r w:rsidR="00534B4F" w:rsidRPr="007805EF">
        <w:rPr>
          <w:sz w:val="22"/>
          <w:szCs w:val="22"/>
          <w:lang w:val="en-IE"/>
        </w:rPr>
        <w:t>encouraging</w:t>
      </w:r>
      <w:r w:rsidR="00512EEC" w:rsidRPr="007805EF">
        <w:rPr>
          <w:sz w:val="22"/>
          <w:szCs w:val="22"/>
          <w:lang w:val="en-GB"/>
        </w:rPr>
        <w:t xml:space="preserve"> p</w:t>
      </w:r>
      <w:r w:rsidR="00EF1FAE" w:rsidRPr="007805EF">
        <w:rPr>
          <w:sz w:val="22"/>
          <w:szCs w:val="22"/>
          <w:lang w:val="en-GB"/>
        </w:rPr>
        <w:t xml:space="preserve">arties to include </w:t>
      </w:r>
      <w:r w:rsidR="00410F62" w:rsidRPr="007805EF">
        <w:rPr>
          <w:sz w:val="22"/>
          <w:szCs w:val="22"/>
          <w:lang w:val="en-GB"/>
        </w:rPr>
        <w:t xml:space="preserve">subnational </w:t>
      </w:r>
      <w:r w:rsidR="00EF1FAE" w:rsidRPr="007805EF">
        <w:rPr>
          <w:sz w:val="22"/>
          <w:szCs w:val="22"/>
          <w:lang w:val="en-GB"/>
        </w:rPr>
        <w:t xml:space="preserve">climate commitments, actions and achievements </w:t>
      </w:r>
      <w:r w:rsidR="00F7190B" w:rsidRPr="007805EF">
        <w:rPr>
          <w:sz w:val="22"/>
          <w:szCs w:val="22"/>
          <w:lang w:val="en-GB"/>
        </w:rPr>
        <w:t>in their</w:t>
      </w:r>
      <w:r w:rsidR="00EF1FAE" w:rsidRPr="007805EF">
        <w:rPr>
          <w:sz w:val="22"/>
          <w:szCs w:val="22"/>
          <w:lang w:val="en-GB"/>
        </w:rPr>
        <w:t xml:space="preserve"> NDCs and NAPs.</w:t>
      </w:r>
    </w:p>
    <w:p w14:paraId="5177E410" w14:textId="59FD550E" w:rsidR="00EF1FAE" w:rsidRPr="007805EF" w:rsidRDefault="00F7190B" w:rsidP="00EF1FAE">
      <w:pPr>
        <w:pStyle w:val="NormalWeb"/>
        <w:jc w:val="both"/>
        <w:rPr>
          <w:sz w:val="22"/>
          <w:szCs w:val="22"/>
          <w:lang w:val="en-GB"/>
        </w:rPr>
      </w:pPr>
      <w:r w:rsidRPr="007805EF">
        <w:rPr>
          <w:sz w:val="22"/>
          <w:szCs w:val="22"/>
          <w:lang w:val="en-GB"/>
        </w:rPr>
        <w:t>In the EU, t</w:t>
      </w:r>
      <w:r w:rsidR="00EF1FAE" w:rsidRPr="007805EF">
        <w:rPr>
          <w:sz w:val="22"/>
          <w:szCs w:val="22"/>
          <w:lang w:val="en-GB"/>
        </w:rPr>
        <w:t xml:space="preserve">he ongoing update of National Energy and Climate Plans </w:t>
      </w:r>
      <w:r w:rsidR="00D807AE" w:rsidRPr="007805EF">
        <w:rPr>
          <w:sz w:val="22"/>
          <w:szCs w:val="22"/>
          <w:lang w:val="en-GB"/>
        </w:rPr>
        <w:t xml:space="preserve">and the revision of the Governance Regulation </w:t>
      </w:r>
      <w:r w:rsidR="00EF1FAE" w:rsidRPr="007805EF">
        <w:rPr>
          <w:sz w:val="22"/>
          <w:szCs w:val="22"/>
          <w:lang w:val="en-GB"/>
        </w:rPr>
        <w:t xml:space="preserve">provide </w:t>
      </w:r>
      <w:r w:rsidRPr="007805EF">
        <w:rPr>
          <w:sz w:val="22"/>
          <w:szCs w:val="22"/>
          <w:lang w:val="en-GB"/>
        </w:rPr>
        <w:t>a unique</w:t>
      </w:r>
      <w:r w:rsidR="007805EF">
        <w:rPr>
          <w:sz w:val="22"/>
          <w:szCs w:val="22"/>
          <w:lang w:val="en-GB"/>
        </w:rPr>
        <w:t xml:space="preserve"> opportunity to take a</w:t>
      </w:r>
      <w:r w:rsidRPr="007805EF">
        <w:rPr>
          <w:sz w:val="22"/>
          <w:szCs w:val="22"/>
          <w:lang w:val="en-GB"/>
        </w:rPr>
        <w:t xml:space="preserve"> </w:t>
      </w:r>
      <w:r w:rsidR="00D47BF4" w:rsidRPr="007805EF">
        <w:rPr>
          <w:sz w:val="22"/>
          <w:szCs w:val="22"/>
          <w:lang w:val="en-GB"/>
        </w:rPr>
        <w:t xml:space="preserve">step forward </w:t>
      </w:r>
      <w:r w:rsidR="000423BB" w:rsidRPr="007805EF">
        <w:rPr>
          <w:sz w:val="22"/>
          <w:szCs w:val="22"/>
          <w:lang w:val="en-GB"/>
        </w:rPr>
        <w:t xml:space="preserve">in this </w:t>
      </w:r>
      <w:r w:rsidR="00C72451">
        <w:rPr>
          <w:sz w:val="22"/>
          <w:szCs w:val="22"/>
          <w:lang w:val="en-GB"/>
        </w:rPr>
        <w:t>area</w:t>
      </w:r>
      <w:r w:rsidR="00EF1FAE" w:rsidRPr="007805EF">
        <w:rPr>
          <w:sz w:val="22"/>
          <w:szCs w:val="22"/>
          <w:lang w:val="en-GB"/>
        </w:rPr>
        <w:t xml:space="preserve">. The </w:t>
      </w:r>
      <w:r w:rsidR="00D807AE" w:rsidRPr="007805EF">
        <w:rPr>
          <w:sz w:val="22"/>
          <w:szCs w:val="22"/>
          <w:lang w:val="en-GB"/>
        </w:rPr>
        <w:t xml:space="preserve">upcoming </w:t>
      </w:r>
      <w:r w:rsidR="00EF1FAE" w:rsidRPr="007805EF">
        <w:rPr>
          <w:sz w:val="22"/>
          <w:szCs w:val="22"/>
          <w:lang w:val="en-GB"/>
        </w:rPr>
        <w:t xml:space="preserve">amendment to the EU Climate Law, </w:t>
      </w:r>
      <w:r w:rsidR="003203CD" w:rsidRPr="007805EF">
        <w:rPr>
          <w:sz w:val="22"/>
          <w:szCs w:val="22"/>
          <w:lang w:val="en-GB"/>
        </w:rPr>
        <w:t>aimed at</w:t>
      </w:r>
      <w:r w:rsidR="00EF1FAE" w:rsidRPr="007805EF">
        <w:rPr>
          <w:sz w:val="22"/>
          <w:szCs w:val="22"/>
          <w:lang w:val="en-GB"/>
        </w:rPr>
        <w:t xml:space="preserve"> establish</w:t>
      </w:r>
      <w:r w:rsidR="003203CD" w:rsidRPr="007805EF">
        <w:rPr>
          <w:sz w:val="22"/>
          <w:szCs w:val="22"/>
          <w:lang w:val="en-GB"/>
        </w:rPr>
        <w:t>ing</w:t>
      </w:r>
      <w:r w:rsidR="00EF1FAE" w:rsidRPr="007805EF">
        <w:rPr>
          <w:sz w:val="22"/>
          <w:szCs w:val="22"/>
          <w:lang w:val="en-GB"/>
        </w:rPr>
        <w:t xml:space="preserve"> a 2040 climate target</w:t>
      </w:r>
      <w:r w:rsidR="00D82420" w:rsidRPr="007805EF">
        <w:rPr>
          <w:sz w:val="22"/>
          <w:szCs w:val="22"/>
          <w:lang w:val="en-GB"/>
        </w:rPr>
        <w:t xml:space="preserve"> and a greenhouse gas budget for 2030-2050</w:t>
      </w:r>
      <w:r w:rsidRPr="007805EF">
        <w:rPr>
          <w:sz w:val="22"/>
          <w:szCs w:val="22"/>
          <w:lang w:val="en-GB"/>
        </w:rPr>
        <w:t xml:space="preserve">, </w:t>
      </w:r>
      <w:r w:rsidR="00774408" w:rsidRPr="007805EF">
        <w:rPr>
          <w:sz w:val="22"/>
          <w:szCs w:val="22"/>
          <w:lang w:val="en-GB"/>
        </w:rPr>
        <w:t xml:space="preserve">is </w:t>
      </w:r>
      <w:r w:rsidRPr="007805EF">
        <w:rPr>
          <w:sz w:val="22"/>
          <w:szCs w:val="22"/>
          <w:lang w:val="en-GB"/>
        </w:rPr>
        <w:t>also</w:t>
      </w:r>
      <w:r w:rsidR="00D807AE" w:rsidRPr="007805EF">
        <w:rPr>
          <w:sz w:val="22"/>
          <w:szCs w:val="22"/>
          <w:lang w:val="en-GB"/>
        </w:rPr>
        <w:t xml:space="preserve"> </w:t>
      </w:r>
      <w:r w:rsidR="00553EBD" w:rsidRPr="007805EF">
        <w:rPr>
          <w:sz w:val="22"/>
          <w:szCs w:val="22"/>
          <w:lang w:val="en-GB"/>
        </w:rPr>
        <w:t xml:space="preserve">a prolific opportunity </w:t>
      </w:r>
      <w:r w:rsidR="00EF1FAE" w:rsidRPr="007805EF">
        <w:rPr>
          <w:sz w:val="22"/>
          <w:szCs w:val="22"/>
          <w:lang w:val="en-GB"/>
        </w:rPr>
        <w:t xml:space="preserve">to work closely with </w:t>
      </w:r>
      <w:r w:rsidR="00D807AE" w:rsidRPr="007805EF">
        <w:rPr>
          <w:sz w:val="22"/>
          <w:szCs w:val="22"/>
          <w:lang w:val="en-GB"/>
        </w:rPr>
        <w:t xml:space="preserve">EU </w:t>
      </w:r>
      <w:r w:rsidR="003203CD" w:rsidRPr="007805EF">
        <w:rPr>
          <w:sz w:val="22"/>
          <w:szCs w:val="22"/>
          <w:lang w:val="en-GB"/>
        </w:rPr>
        <w:t>LRAs</w:t>
      </w:r>
      <w:r w:rsidR="000423BB" w:rsidRPr="007805EF">
        <w:rPr>
          <w:sz w:val="22"/>
          <w:szCs w:val="22"/>
          <w:lang w:val="en-GB"/>
        </w:rPr>
        <w:t>.</w:t>
      </w:r>
    </w:p>
    <w:p w14:paraId="7F750CE8" w14:textId="1FC0EA41" w:rsidR="00EF1FAE" w:rsidRPr="007805EF" w:rsidRDefault="0077041E" w:rsidP="00EF1FAE">
      <w:pPr>
        <w:pStyle w:val="NormalWeb"/>
        <w:jc w:val="both"/>
        <w:rPr>
          <w:sz w:val="22"/>
          <w:szCs w:val="22"/>
          <w:lang w:val="en-GB"/>
        </w:rPr>
      </w:pPr>
      <w:r w:rsidRPr="007805EF">
        <w:rPr>
          <w:sz w:val="22"/>
          <w:szCs w:val="22"/>
          <w:lang w:val="en-GB"/>
        </w:rPr>
        <w:t>D</w:t>
      </w:r>
      <w:r w:rsidR="00EF1FAE" w:rsidRPr="007805EF">
        <w:rPr>
          <w:sz w:val="22"/>
          <w:szCs w:val="22"/>
          <w:lang w:val="en-GB"/>
        </w:rPr>
        <w:t>irect access to funding</w:t>
      </w:r>
      <w:r w:rsidR="003203CD" w:rsidRPr="007805EF">
        <w:rPr>
          <w:sz w:val="22"/>
          <w:szCs w:val="22"/>
          <w:lang w:val="en-GB"/>
        </w:rPr>
        <w:t xml:space="preserve"> for cities and regions </w:t>
      </w:r>
      <w:r w:rsidR="00EF1FAE" w:rsidRPr="007805EF">
        <w:rPr>
          <w:sz w:val="22"/>
          <w:szCs w:val="22"/>
          <w:lang w:val="en-GB"/>
        </w:rPr>
        <w:t xml:space="preserve">should </w:t>
      </w:r>
      <w:r w:rsidR="005D0756" w:rsidRPr="007805EF">
        <w:rPr>
          <w:sz w:val="22"/>
          <w:szCs w:val="22"/>
          <w:lang w:val="en-GB"/>
        </w:rPr>
        <w:t xml:space="preserve">also </w:t>
      </w:r>
      <w:r w:rsidR="00EF1FAE" w:rsidRPr="007805EF">
        <w:rPr>
          <w:sz w:val="22"/>
          <w:szCs w:val="22"/>
          <w:lang w:val="en-GB"/>
        </w:rPr>
        <w:t xml:space="preserve">be </w:t>
      </w:r>
      <w:r w:rsidR="003203CD" w:rsidRPr="007805EF">
        <w:rPr>
          <w:sz w:val="22"/>
          <w:szCs w:val="22"/>
          <w:lang w:val="en-GB"/>
        </w:rPr>
        <w:t>facilitated</w:t>
      </w:r>
      <w:r w:rsidR="00EF1FAE" w:rsidRPr="007805EF">
        <w:rPr>
          <w:sz w:val="22"/>
          <w:szCs w:val="22"/>
          <w:lang w:val="en-GB"/>
        </w:rPr>
        <w:t xml:space="preserve">. </w:t>
      </w:r>
      <w:r w:rsidR="004B4A81" w:rsidRPr="007805EF">
        <w:rPr>
          <w:sz w:val="22"/>
          <w:szCs w:val="22"/>
          <w:lang w:val="en-GB"/>
        </w:rPr>
        <w:t xml:space="preserve">Some ways in which this can be done are: </w:t>
      </w:r>
      <w:r w:rsidR="00EF1FAE" w:rsidRPr="007805EF">
        <w:rPr>
          <w:sz w:val="22"/>
          <w:szCs w:val="22"/>
          <w:lang w:val="en-GB"/>
        </w:rPr>
        <w:t xml:space="preserve">by </w:t>
      </w:r>
      <w:r w:rsidR="001F0B29" w:rsidRPr="007805EF">
        <w:rPr>
          <w:sz w:val="22"/>
          <w:szCs w:val="22"/>
          <w:lang w:val="en-GB"/>
        </w:rPr>
        <w:t xml:space="preserve">improving </w:t>
      </w:r>
      <w:r w:rsidR="00EF1FAE" w:rsidRPr="007805EF">
        <w:rPr>
          <w:sz w:val="22"/>
          <w:szCs w:val="22"/>
          <w:lang w:val="en-GB"/>
        </w:rPr>
        <w:t xml:space="preserve">advisory services on available financing options, </w:t>
      </w:r>
      <w:r w:rsidR="004B4A81" w:rsidRPr="007805EF">
        <w:rPr>
          <w:sz w:val="22"/>
          <w:szCs w:val="22"/>
          <w:lang w:val="en-GB"/>
        </w:rPr>
        <w:t xml:space="preserve">by </w:t>
      </w:r>
      <w:r w:rsidR="00EF1FAE" w:rsidRPr="007805EF">
        <w:rPr>
          <w:sz w:val="22"/>
          <w:szCs w:val="22"/>
          <w:lang w:val="en-GB"/>
        </w:rPr>
        <w:t>supporting capacity building and targeted training on the use of financial instruments, and by facilitating the use of different funds and financing options for investing in climate action.</w:t>
      </w:r>
    </w:p>
    <w:p w14:paraId="487D0AFB" w14:textId="5BF93354" w:rsidR="00EF1FAE" w:rsidRPr="007805EF" w:rsidRDefault="00EF1FAE" w:rsidP="00EF1FAE">
      <w:pPr>
        <w:spacing w:after="160" w:line="259" w:lineRule="auto"/>
        <w:rPr>
          <w:lang w:val="en-GB" w:eastAsia="en-GB"/>
        </w:rPr>
      </w:pPr>
      <w:r w:rsidRPr="007805EF">
        <w:rPr>
          <w:lang w:val="en-GB" w:eastAsia="en-GB"/>
        </w:rPr>
        <w:t xml:space="preserve">At the same time, </w:t>
      </w:r>
      <w:r w:rsidR="004A329A" w:rsidRPr="007805EF">
        <w:rPr>
          <w:lang w:val="en-GB" w:eastAsia="en-GB"/>
        </w:rPr>
        <w:t xml:space="preserve">there should be closer </w:t>
      </w:r>
      <w:r w:rsidRPr="007805EF">
        <w:rPr>
          <w:lang w:val="en-GB" w:eastAsia="en-GB"/>
        </w:rPr>
        <w:t xml:space="preserve">cooperation with LRAs </w:t>
      </w:r>
      <w:r w:rsidR="006E230F" w:rsidRPr="007805EF">
        <w:rPr>
          <w:lang w:val="en-GB" w:eastAsia="en-GB"/>
        </w:rPr>
        <w:t>in</w:t>
      </w:r>
      <w:r w:rsidR="004A329A" w:rsidRPr="007805EF">
        <w:rPr>
          <w:lang w:val="en-GB" w:eastAsia="en-GB"/>
        </w:rPr>
        <w:t xml:space="preserve"> defin</w:t>
      </w:r>
      <w:r w:rsidR="006E230F" w:rsidRPr="007805EF">
        <w:rPr>
          <w:lang w:val="en-GB" w:eastAsia="en-GB"/>
        </w:rPr>
        <w:t>ing</w:t>
      </w:r>
      <w:r w:rsidR="004A329A" w:rsidRPr="007805EF">
        <w:rPr>
          <w:lang w:val="en-GB" w:eastAsia="en-GB"/>
        </w:rPr>
        <w:t xml:space="preserve"> </w:t>
      </w:r>
      <w:r w:rsidR="004A329A" w:rsidRPr="007805EF">
        <w:rPr>
          <w:rStyle w:val="hgkelc"/>
          <w:lang w:val="en-GB"/>
        </w:rPr>
        <w:t>relevant fiscal measures</w:t>
      </w:r>
      <w:r w:rsidRPr="007805EF">
        <w:rPr>
          <w:rStyle w:val="hgkelc"/>
          <w:lang w:val="en-GB"/>
        </w:rPr>
        <w:t xml:space="preserve">, in line with the </w:t>
      </w:r>
      <w:r w:rsidRPr="007805EF">
        <w:rPr>
          <w:lang w:val="en-GB"/>
        </w:rPr>
        <w:t>Paris Agreement</w:t>
      </w:r>
      <w:r w:rsidR="004A329A" w:rsidRPr="007805EF">
        <w:rPr>
          <w:lang w:val="en-GB"/>
        </w:rPr>
        <w:t>'s</w:t>
      </w:r>
      <w:r w:rsidRPr="007805EF">
        <w:rPr>
          <w:lang w:val="en-GB"/>
        </w:rPr>
        <w:t xml:space="preserve"> </w:t>
      </w:r>
      <w:r w:rsidRPr="007805EF">
        <w:rPr>
          <w:lang w:val="en-GB" w:eastAsia="en-GB"/>
        </w:rPr>
        <w:t xml:space="preserve">recognition of </w:t>
      </w:r>
      <w:r w:rsidR="002E2344">
        <w:rPr>
          <w:lang w:val="en-GB" w:eastAsia="en-GB"/>
        </w:rPr>
        <w:t>"</w:t>
      </w:r>
      <w:r w:rsidRPr="007805EF">
        <w:rPr>
          <w:lang w:val="en-GB" w:eastAsia="en-GB"/>
        </w:rPr>
        <w:t>the importance of integrated, holistic and balanced non-market approaches</w:t>
      </w:r>
      <w:r w:rsidRPr="007805EF">
        <w:rPr>
          <w:rStyle w:val="Appelnotedebasdep"/>
          <w:sz w:val="22"/>
          <w:lang w:val="en-GB" w:eastAsia="en-GB"/>
        </w:rPr>
        <w:footnoteReference w:id="2"/>
      </w:r>
      <w:r w:rsidRPr="007805EF">
        <w:rPr>
          <w:lang w:val="en-GB" w:eastAsia="en-GB"/>
        </w:rPr>
        <w:t xml:space="preserve"> to enable voluntary cooperation being available to Parties to assist in the implementation of their </w:t>
      </w:r>
      <w:r w:rsidR="00A840F4">
        <w:rPr>
          <w:lang w:val="en-GB" w:eastAsia="en-GB"/>
        </w:rPr>
        <w:t>NDCs</w:t>
      </w:r>
      <w:r w:rsidRPr="007805EF">
        <w:rPr>
          <w:lang w:val="en-GB" w:eastAsia="en-GB"/>
        </w:rPr>
        <w:t>, (.</w:t>
      </w:r>
      <w:r w:rsidR="004A329A" w:rsidRPr="007805EF">
        <w:rPr>
          <w:lang w:val="en-GB" w:eastAsia="en-GB"/>
        </w:rPr>
        <w:t>.</w:t>
      </w:r>
      <w:r w:rsidRPr="007805EF">
        <w:rPr>
          <w:lang w:val="en-GB" w:eastAsia="en-GB"/>
        </w:rPr>
        <w:t>.), in a coordinated and effective manner</w:t>
      </w:r>
      <w:r w:rsidR="002E2344">
        <w:rPr>
          <w:lang w:val="en-GB" w:eastAsia="en-GB"/>
        </w:rPr>
        <w:t>"</w:t>
      </w:r>
      <w:r w:rsidR="00DF2122" w:rsidRPr="007805EF">
        <w:rPr>
          <w:lang w:val="en-GB" w:eastAsia="en-GB"/>
        </w:rPr>
        <w:t xml:space="preserve">. This would </w:t>
      </w:r>
      <w:r w:rsidRPr="007805EF">
        <w:rPr>
          <w:lang w:val="en-GB" w:eastAsia="en-GB"/>
        </w:rPr>
        <w:t>encourag</w:t>
      </w:r>
      <w:r w:rsidR="00DF2122" w:rsidRPr="007805EF">
        <w:rPr>
          <w:lang w:val="en-GB" w:eastAsia="en-GB"/>
        </w:rPr>
        <w:t>e</w:t>
      </w:r>
      <w:r w:rsidRPr="007805EF">
        <w:rPr>
          <w:lang w:val="en-GB" w:eastAsia="en-GB"/>
        </w:rPr>
        <w:t xml:space="preserve"> </w:t>
      </w:r>
      <w:r w:rsidR="004A329A" w:rsidRPr="007805EF">
        <w:rPr>
          <w:lang w:val="en-GB" w:eastAsia="en-GB"/>
        </w:rPr>
        <w:t>p</w:t>
      </w:r>
      <w:r w:rsidRPr="007805EF">
        <w:rPr>
          <w:lang w:val="en-GB" w:eastAsia="en-GB"/>
        </w:rPr>
        <w:t xml:space="preserve">arties, </w:t>
      </w:r>
      <w:r w:rsidR="00C72451">
        <w:rPr>
          <w:lang w:val="en-GB" w:eastAsia="en-GB"/>
        </w:rPr>
        <w:t xml:space="preserve">LRAs, </w:t>
      </w:r>
      <w:r w:rsidRPr="007805EF">
        <w:rPr>
          <w:lang w:val="en-GB" w:eastAsia="en-GB"/>
        </w:rPr>
        <w:t>private sector stakeholders and civil society organi</w:t>
      </w:r>
      <w:r w:rsidR="00774E9C" w:rsidRPr="007805EF">
        <w:rPr>
          <w:lang w:val="en-GB" w:eastAsia="en-GB"/>
        </w:rPr>
        <w:t>s</w:t>
      </w:r>
      <w:r w:rsidRPr="007805EF">
        <w:rPr>
          <w:lang w:val="en-GB" w:eastAsia="en-GB"/>
        </w:rPr>
        <w:t>ations to actively engage in the research, development and implementation of non-market approaches.</w:t>
      </w:r>
    </w:p>
    <w:p w14:paraId="001B0BD7" w14:textId="77777777" w:rsidR="00EF1FAE" w:rsidRPr="007805EF" w:rsidRDefault="00EF1FAE" w:rsidP="00EF1FAE">
      <w:pPr>
        <w:pStyle w:val="NormalWeb"/>
        <w:jc w:val="both"/>
        <w:rPr>
          <w:rStyle w:val="markedcontent"/>
          <w:b/>
          <w:i/>
          <w:sz w:val="22"/>
          <w:szCs w:val="22"/>
          <w:lang w:val="en-GB"/>
        </w:rPr>
      </w:pPr>
      <w:r w:rsidRPr="007805EF">
        <w:rPr>
          <w:rStyle w:val="markedcontent"/>
          <w:b/>
          <w:i/>
          <w:sz w:val="22"/>
          <w:szCs w:val="22"/>
          <w:lang w:val="en-GB"/>
        </w:rPr>
        <w:t xml:space="preserve">From commitment to implementation – bridging gaps to deliver on the Paris Agreement </w:t>
      </w:r>
    </w:p>
    <w:p w14:paraId="65A5D3D4" w14:textId="615DBB28" w:rsidR="00EF1FAE" w:rsidRPr="007805EF" w:rsidRDefault="00EF1FAE" w:rsidP="00EF1FAE">
      <w:pPr>
        <w:spacing w:after="160" w:line="259" w:lineRule="auto"/>
        <w:rPr>
          <w:b/>
          <w:bCs/>
          <w:lang w:val="en-IE"/>
        </w:rPr>
      </w:pPr>
      <w:r w:rsidRPr="007805EF">
        <w:rPr>
          <w:lang w:val="en-GB"/>
        </w:rPr>
        <w:t>In the EU, natural disasters affected nearly 50 million people between 1980 and 2020 and caused</w:t>
      </w:r>
      <w:r w:rsidR="002D5512" w:rsidRPr="007805EF">
        <w:rPr>
          <w:lang w:val="en-GB"/>
        </w:rPr>
        <w:t xml:space="preserve"> </w:t>
      </w:r>
      <w:r w:rsidRPr="007805EF">
        <w:rPr>
          <w:lang w:val="en-GB"/>
        </w:rPr>
        <w:t xml:space="preserve">an </w:t>
      </w:r>
      <w:r w:rsidR="002D5512" w:rsidRPr="007805EF">
        <w:rPr>
          <w:lang w:val="en-GB"/>
        </w:rPr>
        <w:t xml:space="preserve">average </w:t>
      </w:r>
      <w:r w:rsidRPr="007805EF">
        <w:rPr>
          <w:lang w:val="en-GB"/>
        </w:rPr>
        <w:t xml:space="preserve">of €12 billion </w:t>
      </w:r>
      <w:r w:rsidR="002D5512" w:rsidRPr="007805EF">
        <w:rPr>
          <w:lang w:val="en-GB"/>
        </w:rPr>
        <w:t>in economic losses each</w:t>
      </w:r>
      <w:r w:rsidRPr="007805EF">
        <w:rPr>
          <w:lang w:val="en-GB"/>
        </w:rPr>
        <w:t xml:space="preserve"> year. Over 80% of losses and 95% of fatalities can be attributed to natural disasters caused by weather and climate-related extremes, while the economic damage from climate-related events amounted to at least €419 billion within the same period</w:t>
      </w:r>
      <w:r w:rsidR="00B40C30" w:rsidRPr="007805EF">
        <w:rPr>
          <w:rStyle w:val="Appelnotedebasdep"/>
          <w:lang w:val="en-GB"/>
        </w:rPr>
        <w:footnoteReference w:id="3"/>
      </w:r>
      <w:r w:rsidRPr="007805EF">
        <w:rPr>
          <w:lang w:val="en-IE"/>
        </w:rPr>
        <w:t xml:space="preserve">. The effects of these losses are further exacerbated by </w:t>
      </w:r>
      <w:r w:rsidR="001F7E3E" w:rsidRPr="007805EF">
        <w:rPr>
          <w:lang w:val="en-IE"/>
        </w:rPr>
        <w:t xml:space="preserve">the fact that they are unevenly </w:t>
      </w:r>
      <w:r w:rsidRPr="007805EF">
        <w:rPr>
          <w:lang w:val="en-IE"/>
        </w:rPr>
        <w:t xml:space="preserve">distributed, harming cities and regions that may already face challenges </w:t>
      </w:r>
      <w:r w:rsidR="001F7E3E" w:rsidRPr="007805EF">
        <w:rPr>
          <w:lang w:val="en-IE"/>
        </w:rPr>
        <w:t>such as</w:t>
      </w:r>
      <w:r w:rsidRPr="007805EF">
        <w:rPr>
          <w:lang w:val="en-IE"/>
        </w:rPr>
        <w:t xml:space="preserve"> low </w:t>
      </w:r>
      <w:r w:rsidR="00C72451">
        <w:rPr>
          <w:lang w:val="en-IE"/>
        </w:rPr>
        <w:t xml:space="preserve">economic </w:t>
      </w:r>
      <w:r w:rsidRPr="007805EF">
        <w:rPr>
          <w:lang w:val="en-IE"/>
        </w:rPr>
        <w:t>growth or high youth unemployment.</w:t>
      </w:r>
    </w:p>
    <w:p w14:paraId="25BC536B" w14:textId="47224DF4" w:rsidR="00EF1FAE" w:rsidRPr="007805EF" w:rsidRDefault="00EF1FAE" w:rsidP="00EF1FAE">
      <w:pPr>
        <w:spacing w:after="160" w:line="259" w:lineRule="auto"/>
        <w:rPr>
          <w:color w:val="000000"/>
          <w:lang w:val="en-IE"/>
        </w:rPr>
      </w:pPr>
      <w:r w:rsidRPr="007805EF">
        <w:rPr>
          <w:lang w:val="en-IE"/>
        </w:rPr>
        <w:t xml:space="preserve">Effective local adaptation is </w:t>
      </w:r>
      <w:r w:rsidR="000A4C35" w:rsidRPr="007805EF">
        <w:rPr>
          <w:lang w:val="en-IE"/>
        </w:rPr>
        <w:t xml:space="preserve">therefore </w:t>
      </w:r>
      <w:r w:rsidRPr="007805EF">
        <w:rPr>
          <w:lang w:val="en-IE"/>
        </w:rPr>
        <w:t xml:space="preserve">essential to </w:t>
      </w:r>
      <w:r w:rsidR="005F57A0" w:rsidRPr="007805EF">
        <w:rPr>
          <w:lang w:val="en-IE"/>
        </w:rPr>
        <w:t xml:space="preserve">promptly </w:t>
      </w:r>
      <w:r w:rsidRPr="007805EF">
        <w:rPr>
          <w:lang w:val="en-IE"/>
        </w:rPr>
        <w:t xml:space="preserve">address </w:t>
      </w:r>
      <w:r w:rsidR="005F57A0" w:rsidRPr="007805EF">
        <w:rPr>
          <w:lang w:val="en-IE"/>
        </w:rPr>
        <w:t xml:space="preserve">the </w:t>
      </w:r>
      <w:r w:rsidRPr="007805EF">
        <w:rPr>
          <w:lang w:val="en-IE"/>
        </w:rPr>
        <w:t xml:space="preserve">needs </w:t>
      </w:r>
      <w:r w:rsidR="005F57A0" w:rsidRPr="007805EF">
        <w:rPr>
          <w:lang w:val="en-IE"/>
        </w:rPr>
        <w:t xml:space="preserve">of communities </w:t>
      </w:r>
      <w:r w:rsidRPr="007805EF">
        <w:rPr>
          <w:lang w:val="en-IE"/>
        </w:rPr>
        <w:t xml:space="preserve">and </w:t>
      </w:r>
      <w:r w:rsidR="005F57A0" w:rsidRPr="007805EF">
        <w:rPr>
          <w:lang w:val="en-IE"/>
        </w:rPr>
        <w:t xml:space="preserve">the </w:t>
      </w:r>
      <w:r w:rsidRPr="007805EF">
        <w:rPr>
          <w:lang w:val="en-IE"/>
        </w:rPr>
        <w:t xml:space="preserve">climate threats </w:t>
      </w:r>
      <w:r w:rsidR="005F57A0" w:rsidRPr="007805EF">
        <w:rPr>
          <w:lang w:val="en-IE"/>
        </w:rPr>
        <w:t>they are facing. It is also essential in</w:t>
      </w:r>
      <w:r w:rsidRPr="007805EF">
        <w:rPr>
          <w:lang w:val="en-IE"/>
        </w:rPr>
        <w:t xml:space="preserve"> reduc</w:t>
      </w:r>
      <w:r w:rsidR="005F57A0" w:rsidRPr="007805EF">
        <w:rPr>
          <w:lang w:val="en-IE"/>
        </w:rPr>
        <w:t>ing</w:t>
      </w:r>
      <w:r w:rsidRPr="007805EF">
        <w:rPr>
          <w:lang w:val="en-IE"/>
        </w:rPr>
        <w:t xml:space="preserve"> both the risks and the effects of maladaptation. Despite the progress made at COP27, with the launch of the </w:t>
      </w:r>
      <w:hyperlink r:id="rId25" w:history="1">
        <w:r w:rsidRPr="007805EF">
          <w:rPr>
            <w:rStyle w:val="Lienhypertexte"/>
            <w:shd w:val="clear" w:color="auto" w:fill="FFFFFF"/>
            <w:lang w:val="en-IE"/>
          </w:rPr>
          <w:t>Sharm el-Sheikh Adaptation Agenda</w:t>
        </w:r>
      </w:hyperlink>
      <w:r w:rsidR="000A4C35" w:rsidRPr="006245B7">
        <w:rPr>
          <w:rStyle w:val="Appelnotedebasdep"/>
          <w:color w:val="000000" w:themeColor="text1"/>
          <w:u w:val="single"/>
          <w:shd w:val="clear" w:color="auto" w:fill="FFFFFF"/>
          <w:lang w:val="en-IE"/>
        </w:rPr>
        <w:footnoteReference w:id="4"/>
      </w:r>
      <w:r w:rsidR="000A4C35" w:rsidRPr="007805EF">
        <w:rPr>
          <w:color w:val="191B1C"/>
          <w:shd w:val="clear" w:color="auto" w:fill="FFFFFF"/>
          <w:lang w:val="en-IE"/>
        </w:rPr>
        <w:t xml:space="preserve">, </w:t>
      </w:r>
      <w:r w:rsidRPr="007805EF">
        <w:rPr>
          <w:lang w:val="en-IE"/>
        </w:rPr>
        <w:t>current global financial flows for adaptation are insufficient</w:t>
      </w:r>
      <w:r w:rsidR="001E338C" w:rsidRPr="007805EF">
        <w:rPr>
          <w:lang w:val="en-IE"/>
        </w:rPr>
        <w:t xml:space="preserve">. </w:t>
      </w:r>
      <w:r w:rsidRPr="007805EF">
        <w:rPr>
          <w:lang w:val="en-IE"/>
        </w:rPr>
        <w:t>National governments should</w:t>
      </w:r>
      <w:r w:rsidR="00F02D9D" w:rsidRPr="007805EF">
        <w:rPr>
          <w:lang w:val="en-IE"/>
        </w:rPr>
        <w:t xml:space="preserve"> </w:t>
      </w:r>
      <w:r w:rsidRPr="007805EF">
        <w:rPr>
          <w:lang w:val="en-IE"/>
        </w:rPr>
        <w:t xml:space="preserve">provide credible targets and plans for deploying this capital, and </w:t>
      </w:r>
      <w:r w:rsidR="005F57A0" w:rsidRPr="007805EF">
        <w:rPr>
          <w:lang w:val="en-IE"/>
        </w:rPr>
        <w:t xml:space="preserve">they </w:t>
      </w:r>
      <w:r w:rsidRPr="007805EF">
        <w:rPr>
          <w:lang w:val="en-IE"/>
        </w:rPr>
        <w:t>need to reinforce dedicated mechanisms for LRAs to directly access climate finance opportunities</w:t>
      </w:r>
      <w:r w:rsidR="005F57A0" w:rsidRPr="007805EF">
        <w:rPr>
          <w:lang w:val="en-IE"/>
        </w:rPr>
        <w:t>.</w:t>
      </w:r>
      <w:r w:rsidRPr="007805EF">
        <w:rPr>
          <w:lang w:val="en-IE"/>
        </w:rPr>
        <w:t xml:space="preserve"> </w:t>
      </w:r>
      <w:r w:rsidR="005F57A0" w:rsidRPr="007805EF">
        <w:rPr>
          <w:lang w:val="en-IE"/>
        </w:rPr>
        <w:t>T</w:t>
      </w:r>
      <w:r w:rsidRPr="007805EF">
        <w:rPr>
          <w:color w:val="000000"/>
          <w:lang w:val="en-IE"/>
        </w:rPr>
        <w:t xml:space="preserve">he </w:t>
      </w:r>
      <w:hyperlink r:id="rId26" w:history="1">
        <w:r w:rsidR="006245B7" w:rsidRPr="006245B7">
          <w:rPr>
            <w:rStyle w:val="Lienhypertexte"/>
            <w:shd w:val="clear" w:color="auto" w:fill="FFFFFF"/>
            <w:lang w:val="en-IE"/>
          </w:rPr>
          <w:t>EU Mission on Adaptation to Climate Change</w:t>
        </w:r>
      </w:hyperlink>
      <w:r w:rsidRPr="007805EF">
        <w:rPr>
          <w:color w:val="000000"/>
          <w:lang w:val="en-IE"/>
        </w:rPr>
        <w:t xml:space="preserve"> can serve as an inspiring model.</w:t>
      </w:r>
    </w:p>
    <w:p w14:paraId="44D8FCD3" w14:textId="6EFBEA38" w:rsidR="00EF1FAE" w:rsidRPr="007805EF" w:rsidRDefault="00EF1FAE" w:rsidP="00EF1FAE">
      <w:pPr>
        <w:spacing w:after="160" w:line="259" w:lineRule="auto"/>
        <w:rPr>
          <w:lang w:val="en-GB"/>
        </w:rPr>
      </w:pPr>
      <w:r w:rsidRPr="007805EF">
        <w:rPr>
          <w:color w:val="191B1C"/>
          <w:shd w:val="clear" w:color="auto" w:fill="FFFFFF"/>
          <w:lang w:val="en-IE"/>
        </w:rPr>
        <w:t xml:space="preserve">LRAs must therefore be engaged in the establishment of the </w:t>
      </w:r>
      <w:hyperlink r:id="rId27" w:history="1">
        <w:r w:rsidRPr="006245B7">
          <w:rPr>
            <w:rStyle w:val="Lienhypertexte"/>
            <w:lang w:val="en-IE"/>
          </w:rPr>
          <w:t>Global Goal on Adaptation (GGA)</w:t>
        </w:r>
        <w:r w:rsidR="0039248E" w:rsidRPr="006245B7">
          <w:rPr>
            <w:rStyle w:val="Lienhypertexte"/>
            <w:lang w:val="en-IE"/>
          </w:rPr>
          <w:t xml:space="preserve"> </w:t>
        </w:r>
        <w:r w:rsidR="0039248E" w:rsidRPr="006245B7">
          <w:rPr>
            <w:rStyle w:val="Lienhypertexte"/>
            <w:shd w:val="clear" w:color="auto" w:fill="FFFFFF"/>
            <w:lang w:val="en-IE"/>
          </w:rPr>
          <w:t>framework</w:t>
        </w:r>
      </w:hyperlink>
      <w:r w:rsidR="0039248E" w:rsidRPr="007805EF">
        <w:rPr>
          <w:lang w:val="en-IE"/>
        </w:rPr>
        <w:t>. A</w:t>
      </w:r>
      <w:r w:rsidRPr="007805EF">
        <w:rPr>
          <w:lang w:val="en-IE"/>
        </w:rPr>
        <w:t xml:space="preserve">s </w:t>
      </w:r>
      <w:r w:rsidR="00D448A2" w:rsidRPr="007805EF">
        <w:rPr>
          <w:lang w:val="en-IE"/>
        </w:rPr>
        <w:t xml:space="preserve">with </w:t>
      </w:r>
      <w:r w:rsidRPr="007805EF">
        <w:rPr>
          <w:lang w:val="en-IE"/>
        </w:rPr>
        <w:t>any adaptation goal-setting, the GGA must be based on an understanding of what resilience means, not only for individual countries, but for the</w:t>
      </w:r>
      <w:r w:rsidR="00D448A2" w:rsidRPr="007805EF">
        <w:rPr>
          <w:lang w:val="en-IE"/>
        </w:rPr>
        <w:t xml:space="preserve"> diverse</w:t>
      </w:r>
      <w:r w:rsidR="00D448A2" w:rsidRPr="007805EF">
        <w:rPr>
          <w:lang w:val="en-GB"/>
        </w:rPr>
        <w:t xml:space="preserve"> </w:t>
      </w:r>
      <w:r w:rsidRPr="007805EF">
        <w:rPr>
          <w:lang w:val="en-GB"/>
        </w:rPr>
        <w:t>local realities within them</w:t>
      </w:r>
      <w:r w:rsidR="00762B22" w:rsidRPr="007805EF">
        <w:rPr>
          <w:lang w:val="en-GB"/>
        </w:rPr>
        <w:t>.</w:t>
      </w:r>
      <w:r w:rsidRPr="007805EF">
        <w:rPr>
          <w:lang w:val="en-GB"/>
        </w:rPr>
        <w:t xml:space="preserve"> </w:t>
      </w:r>
      <w:r w:rsidR="00762B22" w:rsidRPr="007805EF">
        <w:rPr>
          <w:lang w:val="en-GB"/>
        </w:rPr>
        <w:t>This</w:t>
      </w:r>
      <w:r w:rsidRPr="007805EF">
        <w:rPr>
          <w:lang w:val="en-GB"/>
        </w:rPr>
        <w:t xml:space="preserve"> mak</w:t>
      </w:r>
      <w:r w:rsidR="00762B22" w:rsidRPr="007805EF">
        <w:rPr>
          <w:lang w:val="en-GB"/>
        </w:rPr>
        <w:t>es</w:t>
      </w:r>
      <w:r w:rsidRPr="007805EF">
        <w:rPr>
          <w:lang w:val="en-GB"/>
        </w:rPr>
        <w:t xml:space="preserve"> LRAs the most suitable actors to define adaptation goals, needs, and solutions. As the Global </w:t>
      </w:r>
      <w:r w:rsidRPr="007805EF">
        <w:rPr>
          <w:lang w:val="en-GB"/>
        </w:rPr>
        <w:lastRenderedPageBreak/>
        <w:t>Stocktake assesses effectiveness and scalability of research and application of adaptation policies and solutions, LRAs would be able to share their expertise in tracking and measuring progress</w:t>
      </w:r>
      <w:r w:rsidR="006245B7">
        <w:rPr>
          <w:lang w:val="en-GB"/>
        </w:rPr>
        <w:t xml:space="preserve"> in this area</w:t>
      </w:r>
      <w:r w:rsidRPr="007805EF">
        <w:rPr>
          <w:lang w:val="en-GB"/>
        </w:rPr>
        <w:t>.</w:t>
      </w:r>
    </w:p>
    <w:p w14:paraId="5367F308" w14:textId="0EF365C1" w:rsidR="00EF1FAE" w:rsidRPr="007805EF" w:rsidRDefault="00EF1FAE" w:rsidP="00EF1FAE">
      <w:pPr>
        <w:pStyle w:val="NormalWeb"/>
        <w:jc w:val="both"/>
        <w:rPr>
          <w:sz w:val="22"/>
          <w:szCs w:val="22"/>
          <w:lang w:val="en-GB" w:eastAsia="en-US"/>
        </w:rPr>
      </w:pPr>
      <w:r w:rsidRPr="007805EF">
        <w:rPr>
          <w:sz w:val="22"/>
          <w:szCs w:val="22"/>
          <w:lang w:val="en-GB" w:eastAsia="en-US"/>
        </w:rPr>
        <w:t xml:space="preserve">COP27 marked a turning point for </w:t>
      </w:r>
      <w:r w:rsidR="006F6E3C" w:rsidRPr="007805EF">
        <w:rPr>
          <w:sz w:val="22"/>
          <w:szCs w:val="22"/>
          <w:lang w:val="en-GB" w:eastAsia="en-US"/>
        </w:rPr>
        <w:t>l</w:t>
      </w:r>
      <w:r w:rsidRPr="007805EF">
        <w:rPr>
          <w:sz w:val="22"/>
          <w:szCs w:val="22"/>
          <w:lang w:val="en-GB" w:eastAsia="en-US"/>
        </w:rPr>
        <w:t xml:space="preserve">oss and </w:t>
      </w:r>
      <w:r w:rsidR="003203CD" w:rsidRPr="007805EF">
        <w:rPr>
          <w:sz w:val="22"/>
          <w:szCs w:val="22"/>
          <w:lang w:val="en-GB" w:eastAsia="en-US"/>
        </w:rPr>
        <w:t>d</w:t>
      </w:r>
      <w:r w:rsidRPr="007805EF">
        <w:rPr>
          <w:sz w:val="22"/>
          <w:szCs w:val="22"/>
          <w:lang w:val="en-GB" w:eastAsia="en-US"/>
        </w:rPr>
        <w:t xml:space="preserve">amage, with progress on operationalising the Santiago Network. </w:t>
      </w:r>
      <w:r w:rsidRPr="007805EF">
        <w:rPr>
          <w:sz w:val="22"/>
          <w:szCs w:val="22"/>
          <w:lang w:val="en-GB"/>
        </w:rPr>
        <w:t xml:space="preserve">Since COP26, LRAs have shown leadership in addressing loss and damage thanks to financial pledges from </w:t>
      </w:r>
      <w:hyperlink r:id="rId28" w:tgtFrame="_blank" w:history="1">
        <w:r w:rsidRPr="007805EF">
          <w:rPr>
            <w:rStyle w:val="Lienhypertexte"/>
            <w:sz w:val="22"/>
            <w:szCs w:val="22"/>
            <w:lang w:val="en-GB"/>
          </w:rPr>
          <w:t>Scotland</w:t>
        </w:r>
      </w:hyperlink>
      <w:r w:rsidRPr="007805EF">
        <w:rPr>
          <w:sz w:val="22"/>
          <w:szCs w:val="22"/>
          <w:lang w:val="en-GB"/>
        </w:rPr>
        <w:t xml:space="preserve"> and</w:t>
      </w:r>
      <w:r w:rsidR="006245B7">
        <w:t xml:space="preserve"> </w:t>
      </w:r>
      <w:hyperlink r:id="rId29" w:history="1">
        <w:r w:rsidR="006245B7" w:rsidRPr="006245B7">
          <w:rPr>
            <w:rStyle w:val="Lienhypertexte"/>
            <w:sz w:val="22"/>
            <w:szCs w:val="22"/>
          </w:rPr>
          <w:t>Wallonia</w:t>
        </w:r>
      </w:hyperlink>
      <w:r w:rsidRPr="007805EF">
        <w:rPr>
          <w:sz w:val="22"/>
          <w:szCs w:val="22"/>
          <w:lang w:val="en-GB"/>
        </w:rPr>
        <w:t xml:space="preserve">, </w:t>
      </w:r>
      <w:r w:rsidRPr="007805EF">
        <w:rPr>
          <w:sz w:val="22"/>
          <w:szCs w:val="22"/>
          <w:lang w:val="en-GB" w:eastAsia="en-US"/>
        </w:rPr>
        <w:t xml:space="preserve">showing with </w:t>
      </w:r>
      <w:r w:rsidR="00423A01" w:rsidRPr="007805EF">
        <w:rPr>
          <w:sz w:val="22"/>
          <w:szCs w:val="22"/>
          <w:lang w:val="en-GB" w:eastAsia="en-US"/>
        </w:rPr>
        <w:t>meaningful</w:t>
      </w:r>
      <w:r w:rsidRPr="007805EF">
        <w:rPr>
          <w:sz w:val="22"/>
          <w:szCs w:val="22"/>
          <w:lang w:val="en-GB" w:eastAsia="en-US"/>
        </w:rPr>
        <w:t xml:space="preserve"> actions how subnational climate diplomacy and cooperation between Global North and Global South can raise ambition</w:t>
      </w:r>
      <w:r w:rsidR="00483586" w:rsidRPr="007805EF">
        <w:rPr>
          <w:sz w:val="22"/>
          <w:szCs w:val="22"/>
          <w:lang w:val="en-GB" w:eastAsia="en-US"/>
        </w:rPr>
        <w:t xml:space="preserve"> a</w:t>
      </w:r>
      <w:r w:rsidRPr="007805EF">
        <w:rPr>
          <w:sz w:val="22"/>
          <w:szCs w:val="22"/>
          <w:lang w:val="en-GB" w:eastAsia="en-US"/>
        </w:rPr>
        <w:t xml:space="preserve">nd accelerate </w:t>
      </w:r>
      <w:r w:rsidR="00483586" w:rsidRPr="007805EF">
        <w:rPr>
          <w:sz w:val="22"/>
          <w:szCs w:val="22"/>
          <w:lang w:val="en-GB" w:eastAsia="en-US"/>
        </w:rPr>
        <w:t xml:space="preserve">the </w:t>
      </w:r>
      <w:r w:rsidRPr="007805EF">
        <w:rPr>
          <w:sz w:val="22"/>
          <w:szCs w:val="22"/>
          <w:lang w:val="en-GB" w:eastAsia="en-US"/>
        </w:rPr>
        <w:t xml:space="preserve">impact </w:t>
      </w:r>
      <w:r w:rsidR="00483586" w:rsidRPr="007805EF">
        <w:rPr>
          <w:sz w:val="22"/>
          <w:szCs w:val="22"/>
          <w:lang w:val="en-GB" w:eastAsia="en-US"/>
        </w:rPr>
        <w:t xml:space="preserve">of climate action </w:t>
      </w:r>
      <w:r w:rsidRPr="007805EF">
        <w:rPr>
          <w:sz w:val="22"/>
          <w:szCs w:val="22"/>
          <w:lang w:val="en-GB" w:eastAsia="en-US"/>
        </w:rPr>
        <w:t>a</w:t>
      </w:r>
      <w:r w:rsidR="00483586" w:rsidRPr="007805EF">
        <w:rPr>
          <w:sz w:val="22"/>
          <w:szCs w:val="22"/>
          <w:lang w:val="en-GB" w:eastAsia="en-US"/>
        </w:rPr>
        <w:t>t</w:t>
      </w:r>
      <w:r w:rsidRPr="007805EF">
        <w:rPr>
          <w:sz w:val="22"/>
          <w:szCs w:val="22"/>
          <w:lang w:val="en-GB" w:eastAsia="en-US"/>
        </w:rPr>
        <w:t xml:space="preserve"> </w:t>
      </w:r>
      <w:r w:rsidR="00483586" w:rsidRPr="007805EF">
        <w:rPr>
          <w:sz w:val="22"/>
          <w:szCs w:val="22"/>
          <w:lang w:val="en-GB" w:eastAsia="en-US"/>
        </w:rPr>
        <w:t xml:space="preserve">all </w:t>
      </w:r>
      <w:r w:rsidRPr="007805EF">
        <w:rPr>
          <w:sz w:val="22"/>
          <w:szCs w:val="22"/>
          <w:lang w:val="en-GB" w:eastAsia="en-US"/>
        </w:rPr>
        <w:t>levels</w:t>
      </w:r>
      <w:r w:rsidR="00483586" w:rsidRPr="007805EF">
        <w:rPr>
          <w:sz w:val="22"/>
          <w:szCs w:val="22"/>
          <w:lang w:val="en-GB" w:eastAsia="en-US"/>
        </w:rPr>
        <w:t xml:space="preserve">, bearing in mind that climate change </w:t>
      </w:r>
      <w:r w:rsidR="003146BA" w:rsidRPr="007805EF">
        <w:rPr>
          <w:sz w:val="22"/>
          <w:szCs w:val="22"/>
          <w:lang w:val="en-GB" w:eastAsia="en-US"/>
        </w:rPr>
        <w:t>i</w:t>
      </w:r>
      <w:r w:rsidR="00483586" w:rsidRPr="007805EF">
        <w:rPr>
          <w:sz w:val="22"/>
          <w:szCs w:val="22"/>
          <w:lang w:val="en-GB" w:eastAsia="en-US"/>
        </w:rPr>
        <w:t>s a global issue</w:t>
      </w:r>
      <w:r w:rsidRPr="007805EF">
        <w:rPr>
          <w:sz w:val="22"/>
          <w:szCs w:val="22"/>
          <w:lang w:val="en-GB" w:eastAsia="en-US"/>
        </w:rPr>
        <w:t>.</w:t>
      </w:r>
    </w:p>
    <w:p w14:paraId="12E35407" w14:textId="6CE44693" w:rsidR="00F00FBB" w:rsidRPr="007805EF" w:rsidRDefault="00EF1FAE" w:rsidP="00EF1FAE">
      <w:pPr>
        <w:pStyle w:val="NormalWeb"/>
        <w:jc w:val="both"/>
        <w:rPr>
          <w:sz w:val="22"/>
          <w:szCs w:val="22"/>
          <w:lang w:val="en-GB" w:eastAsia="en-US"/>
        </w:rPr>
      </w:pPr>
      <w:r w:rsidRPr="007805EF">
        <w:rPr>
          <w:sz w:val="22"/>
          <w:szCs w:val="22"/>
          <w:lang w:val="en-GB" w:eastAsia="en-US"/>
        </w:rPr>
        <w:t xml:space="preserve">This cross-level coordination is paramount in order to establish viable locally-led approaches that enable affected communities to act as the primary agents of change, increase local ownership of the solutions implemented, and offer </w:t>
      </w:r>
      <w:r w:rsidR="00F500E6" w:rsidRPr="007805EF">
        <w:rPr>
          <w:sz w:val="22"/>
          <w:szCs w:val="22"/>
          <w:lang w:val="en-GB" w:eastAsia="en-US"/>
        </w:rPr>
        <w:t>meaningful</w:t>
      </w:r>
      <w:r w:rsidRPr="007805EF">
        <w:rPr>
          <w:sz w:val="22"/>
          <w:szCs w:val="22"/>
          <w:lang w:val="en-GB" w:eastAsia="en-US"/>
        </w:rPr>
        <w:t xml:space="preserve"> responses </w:t>
      </w:r>
      <w:r w:rsidR="00F500E6" w:rsidRPr="007805EF">
        <w:rPr>
          <w:sz w:val="22"/>
          <w:szCs w:val="22"/>
          <w:lang w:val="en-GB" w:eastAsia="en-US"/>
        </w:rPr>
        <w:t>for</w:t>
      </w:r>
      <w:r w:rsidRPr="007805EF">
        <w:rPr>
          <w:sz w:val="22"/>
          <w:szCs w:val="22"/>
          <w:lang w:val="en-GB" w:eastAsia="en-US"/>
        </w:rPr>
        <w:t xml:space="preserve"> all, including the most vulnerable. As highlighted in the </w:t>
      </w:r>
      <w:r w:rsidR="00DA0FB3" w:rsidRPr="007805EF">
        <w:rPr>
          <w:sz w:val="22"/>
          <w:szCs w:val="22"/>
          <w:lang w:val="en-GB" w:eastAsia="en-US"/>
        </w:rPr>
        <w:t xml:space="preserve">Scottish Government's </w:t>
      </w:r>
      <w:hyperlink r:id="rId30" w:history="1">
        <w:r w:rsidRPr="007805EF">
          <w:rPr>
            <w:rStyle w:val="Lienhypertexte"/>
            <w:sz w:val="22"/>
            <w:szCs w:val="22"/>
            <w:lang w:val="en-GB"/>
          </w:rPr>
          <w:t>Practical Action for Addressing Loss and Damage</w:t>
        </w:r>
      </w:hyperlink>
      <w:r w:rsidRPr="007805EF">
        <w:rPr>
          <w:sz w:val="22"/>
          <w:szCs w:val="22"/>
          <w:lang w:val="en-GB" w:eastAsia="en-US"/>
        </w:rPr>
        <w:t>, L</w:t>
      </w:r>
      <w:r w:rsidR="006F6E3C" w:rsidRPr="007805EF">
        <w:rPr>
          <w:sz w:val="22"/>
          <w:szCs w:val="22"/>
          <w:lang w:val="en-GB" w:eastAsia="en-US"/>
        </w:rPr>
        <w:t>R</w:t>
      </w:r>
      <w:r w:rsidRPr="007805EF">
        <w:rPr>
          <w:sz w:val="22"/>
          <w:szCs w:val="22"/>
          <w:lang w:val="en-GB" w:eastAsia="en-US"/>
        </w:rPr>
        <w:t>As have an essential role in diagnosing, assessing and shaping responses based on the best available data concerning both the needs, risks and threats of their local population and territories.</w:t>
      </w:r>
    </w:p>
    <w:p w14:paraId="1E85C074" w14:textId="77777777" w:rsidR="00EF1FAE" w:rsidRPr="007805EF" w:rsidRDefault="00EF1FAE" w:rsidP="00EF1FAE">
      <w:pPr>
        <w:pStyle w:val="NormalWeb"/>
        <w:jc w:val="both"/>
        <w:rPr>
          <w:rStyle w:val="markedcontent"/>
          <w:b/>
          <w:i/>
          <w:sz w:val="22"/>
          <w:szCs w:val="22"/>
          <w:lang w:val="en-GB"/>
        </w:rPr>
      </w:pPr>
      <w:r w:rsidRPr="007805EF">
        <w:rPr>
          <w:rStyle w:val="markedcontent"/>
          <w:b/>
          <w:i/>
          <w:sz w:val="22"/>
          <w:szCs w:val="22"/>
          <w:lang w:val="en-GB"/>
        </w:rPr>
        <w:t>From consultation to participation – expanding scale and scope of climate action through vertical and horizontal integration</w:t>
      </w:r>
    </w:p>
    <w:p w14:paraId="0C34F491" w14:textId="7959756A" w:rsidR="00EF1FAE" w:rsidRPr="007805EF" w:rsidRDefault="00EF1FAE" w:rsidP="00EF1FAE">
      <w:pPr>
        <w:pStyle w:val="NormalWeb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The </w:t>
      </w:r>
      <w:r w:rsidR="00F775FE" w:rsidRPr="007805EF">
        <w:rPr>
          <w:rStyle w:val="markedcontent"/>
          <w:sz w:val="22"/>
          <w:szCs w:val="22"/>
          <w:lang w:val="en-GB"/>
        </w:rPr>
        <w:t>journey</w:t>
      </w:r>
      <w:r w:rsidRPr="007805EF">
        <w:rPr>
          <w:rStyle w:val="markedcontent"/>
          <w:sz w:val="22"/>
          <w:szCs w:val="22"/>
          <w:lang w:val="en-GB"/>
        </w:rPr>
        <w:t xml:space="preserve"> to</w:t>
      </w:r>
      <w:r w:rsidR="00F775FE" w:rsidRPr="007805EF">
        <w:rPr>
          <w:rStyle w:val="markedcontent"/>
          <w:sz w:val="22"/>
          <w:szCs w:val="22"/>
          <w:lang w:val="en-GB"/>
        </w:rPr>
        <w:t>wards</w:t>
      </w:r>
      <w:r w:rsidRPr="007805EF">
        <w:rPr>
          <w:rStyle w:val="markedcontent"/>
          <w:sz w:val="22"/>
          <w:szCs w:val="22"/>
          <w:lang w:val="en-GB"/>
        </w:rPr>
        <w:t xml:space="preserve"> COP28 and t</w:t>
      </w:r>
      <w:r w:rsidR="003203CD" w:rsidRPr="007805EF">
        <w:rPr>
          <w:rStyle w:val="markedcontent"/>
          <w:sz w:val="22"/>
          <w:szCs w:val="22"/>
          <w:lang w:val="en-GB"/>
        </w:rPr>
        <w:t xml:space="preserve">he </w:t>
      </w:r>
      <w:r w:rsidRPr="007805EF">
        <w:rPr>
          <w:rStyle w:val="markedcontent"/>
          <w:sz w:val="22"/>
          <w:szCs w:val="22"/>
          <w:lang w:val="en-GB"/>
        </w:rPr>
        <w:t xml:space="preserve">Global Stocktake must be </w:t>
      </w:r>
      <w:r w:rsidR="00F775FE" w:rsidRPr="007805EF">
        <w:rPr>
          <w:rStyle w:val="markedcontent"/>
          <w:sz w:val="22"/>
          <w:szCs w:val="22"/>
          <w:lang w:val="en-GB"/>
        </w:rPr>
        <w:t>undertaken alongside</w:t>
      </w:r>
      <w:r w:rsidRPr="007805EF">
        <w:rPr>
          <w:rStyle w:val="markedcontent"/>
          <w:sz w:val="22"/>
          <w:szCs w:val="22"/>
          <w:lang w:val="en-GB"/>
        </w:rPr>
        <w:t xml:space="preserve"> </w:t>
      </w:r>
      <w:r w:rsidR="0071792D" w:rsidRPr="007805EF">
        <w:rPr>
          <w:rStyle w:val="markedcontent"/>
          <w:sz w:val="22"/>
          <w:szCs w:val="22"/>
          <w:lang w:val="en-GB"/>
        </w:rPr>
        <w:t>subnational governments</w:t>
      </w:r>
      <w:r w:rsidRPr="007805EF">
        <w:rPr>
          <w:rStyle w:val="markedcontent"/>
          <w:sz w:val="22"/>
          <w:szCs w:val="22"/>
          <w:lang w:val="en-GB"/>
        </w:rPr>
        <w:t>. Thanks to their ambitious action on mitigation, adaptation and loss and damage, LRAs a</w:t>
      </w:r>
      <w:r w:rsidR="00F775FE" w:rsidRPr="007805EF">
        <w:rPr>
          <w:rStyle w:val="markedcontent"/>
          <w:sz w:val="22"/>
          <w:szCs w:val="22"/>
          <w:lang w:val="en-GB"/>
        </w:rPr>
        <w:t>re</w:t>
      </w:r>
      <w:r w:rsidRPr="007805EF">
        <w:rPr>
          <w:rStyle w:val="markedcontent"/>
          <w:sz w:val="22"/>
          <w:szCs w:val="22"/>
          <w:lang w:val="en-GB"/>
        </w:rPr>
        <w:t xml:space="preserve"> ideal partner</w:t>
      </w:r>
      <w:r w:rsidR="00F775FE" w:rsidRPr="007805EF">
        <w:rPr>
          <w:rStyle w:val="markedcontent"/>
          <w:sz w:val="22"/>
          <w:szCs w:val="22"/>
          <w:lang w:val="en-GB"/>
        </w:rPr>
        <w:t>s</w:t>
      </w:r>
      <w:r w:rsidRPr="007805EF">
        <w:rPr>
          <w:rStyle w:val="markedcontent"/>
          <w:sz w:val="22"/>
          <w:szCs w:val="22"/>
          <w:lang w:val="en-GB"/>
        </w:rPr>
        <w:t xml:space="preserve"> for </w:t>
      </w:r>
      <w:r w:rsidR="00F775FE" w:rsidRPr="007805EF">
        <w:rPr>
          <w:rStyle w:val="markedcontent"/>
          <w:sz w:val="22"/>
          <w:szCs w:val="22"/>
          <w:lang w:val="en-GB"/>
        </w:rPr>
        <w:t>p</w:t>
      </w:r>
      <w:r w:rsidRPr="007805EF">
        <w:rPr>
          <w:rStyle w:val="markedcontent"/>
          <w:sz w:val="22"/>
          <w:szCs w:val="22"/>
          <w:lang w:val="en-GB"/>
        </w:rPr>
        <w:t xml:space="preserve">arties to show how the goals of the Paris Agreement are not only alive but can </w:t>
      </w:r>
      <w:r w:rsidR="00F775FE" w:rsidRPr="007805EF">
        <w:rPr>
          <w:rStyle w:val="markedcontent"/>
          <w:sz w:val="22"/>
          <w:szCs w:val="22"/>
          <w:lang w:val="en-GB"/>
        </w:rPr>
        <w:t xml:space="preserve">actually </w:t>
      </w:r>
      <w:r w:rsidRPr="007805EF">
        <w:rPr>
          <w:rStyle w:val="markedcontent"/>
          <w:sz w:val="22"/>
          <w:szCs w:val="22"/>
          <w:lang w:val="en-GB"/>
        </w:rPr>
        <w:t>be attained. Learning from the experiences of the Cities and Regions Talanoa dialogues</w:t>
      </w:r>
      <w:r w:rsidRPr="007805EF">
        <w:rPr>
          <w:rStyle w:val="Appelnotedebasdep"/>
          <w:sz w:val="22"/>
          <w:szCs w:val="22"/>
          <w:lang w:val="en-GB"/>
        </w:rPr>
        <w:footnoteReference w:id="5"/>
      </w:r>
      <w:r w:rsidRPr="007805EF">
        <w:rPr>
          <w:rStyle w:val="markedcontent"/>
          <w:sz w:val="22"/>
          <w:szCs w:val="22"/>
          <w:lang w:val="en-GB"/>
        </w:rPr>
        <w:t xml:space="preserve">, LRAs can </w:t>
      </w:r>
      <w:r w:rsidR="00C72451">
        <w:rPr>
          <w:rStyle w:val="markedcontent"/>
          <w:sz w:val="22"/>
          <w:szCs w:val="22"/>
          <w:lang w:val="en-GB"/>
        </w:rPr>
        <w:t xml:space="preserve">effectively </w:t>
      </w:r>
      <w:r w:rsidRPr="007805EF">
        <w:rPr>
          <w:rStyle w:val="markedcontent"/>
          <w:sz w:val="22"/>
          <w:szCs w:val="22"/>
          <w:lang w:val="en-GB"/>
        </w:rPr>
        <w:t>support the Global Stocktake</w:t>
      </w:r>
      <w:r w:rsidR="0071792D" w:rsidRPr="007805EF">
        <w:rPr>
          <w:rStyle w:val="markedcontent"/>
          <w:sz w:val="22"/>
          <w:szCs w:val="22"/>
          <w:lang w:val="en-GB"/>
        </w:rPr>
        <w:t>.</w:t>
      </w:r>
    </w:p>
    <w:p w14:paraId="4B80C0C6" w14:textId="523CE5FC" w:rsidR="00EF1FAE" w:rsidRPr="007805EF" w:rsidRDefault="003203CD" w:rsidP="00EF1FAE">
      <w:pPr>
        <w:pStyle w:val="NormalWeb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>In the lead</w:t>
      </w:r>
      <w:r w:rsidR="00786C96" w:rsidRPr="007805EF">
        <w:rPr>
          <w:rStyle w:val="markedcontent"/>
          <w:sz w:val="22"/>
          <w:szCs w:val="22"/>
          <w:lang w:val="en-GB"/>
        </w:rPr>
        <w:t>-</w:t>
      </w:r>
      <w:r w:rsidRPr="007805EF">
        <w:rPr>
          <w:rStyle w:val="markedcontent"/>
          <w:sz w:val="22"/>
          <w:szCs w:val="22"/>
          <w:lang w:val="en-GB"/>
        </w:rPr>
        <w:t>up to COP28, last year's</w:t>
      </w:r>
      <w:r w:rsidR="00EF1FAE" w:rsidRPr="007805EF">
        <w:rPr>
          <w:rStyle w:val="markedcontent"/>
          <w:sz w:val="22"/>
          <w:szCs w:val="22"/>
          <w:lang w:val="en-GB"/>
        </w:rPr>
        <w:t xml:space="preserve"> successful collaboration and partnership between the </w:t>
      </w:r>
      <w:r w:rsidRPr="007805EF">
        <w:rPr>
          <w:rStyle w:val="markedcontent"/>
          <w:sz w:val="22"/>
          <w:szCs w:val="22"/>
          <w:lang w:val="en-GB"/>
        </w:rPr>
        <w:t xml:space="preserve">European </w:t>
      </w:r>
      <w:r w:rsidR="00EF1FAE" w:rsidRPr="007805EF">
        <w:rPr>
          <w:rStyle w:val="markedcontent"/>
          <w:sz w:val="22"/>
          <w:szCs w:val="22"/>
          <w:lang w:val="en-GB"/>
        </w:rPr>
        <w:t xml:space="preserve">Committee of the Regions </w:t>
      </w:r>
      <w:r w:rsidR="00982DEC" w:rsidRPr="007805EF">
        <w:rPr>
          <w:rStyle w:val="markedcontent"/>
          <w:sz w:val="22"/>
          <w:szCs w:val="22"/>
          <w:lang w:val="en-GB"/>
        </w:rPr>
        <w:t xml:space="preserve">and </w:t>
      </w:r>
      <w:r w:rsidR="00EF1FAE" w:rsidRPr="007805EF">
        <w:rPr>
          <w:rStyle w:val="markedcontent"/>
          <w:sz w:val="22"/>
          <w:szCs w:val="22"/>
          <w:lang w:val="en-GB"/>
        </w:rPr>
        <w:t xml:space="preserve">the European Commission, as well as </w:t>
      </w:r>
      <w:r w:rsidRPr="007805EF">
        <w:rPr>
          <w:rStyle w:val="markedcontent"/>
          <w:sz w:val="22"/>
          <w:szCs w:val="22"/>
          <w:lang w:val="en-GB"/>
        </w:rPr>
        <w:t xml:space="preserve">with </w:t>
      </w:r>
      <w:r w:rsidR="00EF1FAE" w:rsidRPr="007805EF">
        <w:rPr>
          <w:rStyle w:val="markedcontent"/>
          <w:sz w:val="22"/>
          <w:szCs w:val="22"/>
          <w:lang w:val="en-GB"/>
        </w:rPr>
        <w:t>the European Parliament</w:t>
      </w:r>
      <w:r w:rsidRPr="007805EF">
        <w:rPr>
          <w:rStyle w:val="markedcontent"/>
          <w:sz w:val="22"/>
          <w:szCs w:val="22"/>
          <w:lang w:val="en-GB"/>
        </w:rPr>
        <w:t>,</w:t>
      </w:r>
      <w:r w:rsidR="00C72451">
        <w:rPr>
          <w:rStyle w:val="markedcontent"/>
          <w:sz w:val="22"/>
          <w:szCs w:val="22"/>
          <w:lang w:val="en-GB"/>
        </w:rPr>
        <w:t xml:space="preserve"> and the</w:t>
      </w:r>
      <w:r w:rsidRPr="007805EF">
        <w:rPr>
          <w:rStyle w:val="markedcontent"/>
          <w:sz w:val="22"/>
          <w:szCs w:val="22"/>
          <w:lang w:val="en-GB"/>
        </w:rPr>
        <w:t xml:space="preserve"> </w:t>
      </w:r>
      <w:r w:rsidR="00EF1FAE" w:rsidRPr="007805EF">
        <w:rPr>
          <w:rStyle w:val="markedcontent"/>
          <w:sz w:val="22"/>
          <w:szCs w:val="22"/>
          <w:lang w:val="en-GB"/>
        </w:rPr>
        <w:t>Council</w:t>
      </w:r>
      <w:r w:rsidRPr="007805EF">
        <w:rPr>
          <w:rStyle w:val="markedcontent"/>
          <w:sz w:val="22"/>
          <w:szCs w:val="22"/>
          <w:lang w:val="en-GB"/>
        </w:rPr>
        <w:t xml:space="preserve"> of the EU</w:t>
      </w:r>
      <w:r w:rsidR="00982DEC" w:rsidRPr="007805EF">
        <w:rPr>
          <w:rStyle w:val="markedcontent"/>
          <w:sz w:val="22"/>
          <w:szCs w:val="22"/>
          <w:lang w:val="en-GB"/>
        </w:rPr>
        <w:t>,</w:t>
      </w:r>
      <w:r w:rsidR="00EF1FAE" w:rsidRPr="007805EF">
        <w:rPr>
          <w:rStyle w:val="markedcontent"/>
          <w:sz w:val="22"/>
          <w:szCs w:val="22"/>
          <w:lang w:val="en-GB"/>
        </w:rPr>
        <w:t xml:space="preserve"> should </w:t>
      </w:r>
      <w:r w:rsidR="0071792D" w:rsidRPr="007805EF">
        <w:rPr>
          <w:rStyle w:val="markedcontent"/>
          <w:sz w:val="22"/>
          <w:szCs w:val="22"/>
          <w:lang w:val="en-GB"/>
        </w:rPr>
        <w:t>continue</w:t>
      </w:r>
      <w:r w:rsidRPr="007805EF">
        <w:rPr>
          <w:rStyle w:val="markedcontent"/>
          <w:sz w:val="22"/>
          <w:szCs w:val="22"/>
          <w:lang w:val="en-GB"/>
        </w:rPr>
        <w:t>.</w:t>
      </w:r>
      <w:r w:rsidR="00EF1FAE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>In this regard,</w:t>
      </w:r>
      <w:r w:rsidR="00982DEC" w:rsidRPr="007805EF">
        <w:rPr>
          <w:rStyle w:val="markedcontent"/>
          <w:sz w:val="22"/>
          <w:szCs w:val="22"/>
          <w:lang w:val="en-GB"/>
        </w:rPr>
        <w:t xml:space="preserve"> the</w:t>
      </w:r>
      <w:r w:rsidR="00EF1FAE" w:rsidRPr="007805EF">
        <w:rPr>
          <w:rStyle w:val="markedcontent"/>
          <w:sz w:val="22"/>
          <w:szCs w:val="22"/>
          <w:lang w:val="en-GB"/>
        </w:rPr>
        <w:t xml:space="preserve"> </w:t>
      </w:r>
      <w:r w:rsidR="00A4506B">
        <w:rPr>
          <w:rStyle w:val="markedcontent"/>
          <w:sz w:val="22"/>
          <w:szCs w:val="22"/>
          <w:lang w:val="en-GB"/>
        </w:rPr>
        <w:t xml:space="preserve">upcoming </w:t>
      </w:r>
      <w:r w:rsidR="00EF1FAE" w:rsidRPr="007805EF">
        <w:rPr>
          <w:rStyle w:val="markedcontent"/>
          <w:sz w:val="22"/>
          <w:szCs w:val="22"/>
          <w:lang w:val="en-GB"/>
        </w:rPr>
        <w:t>Spanish Presidency</w:t>
      </w:r>
      <w:r w:rsidR="0071792D" w:rsidRPr="007805EF">
        <w:rPr>
          <w:rStyle w:val="markedcontent"/>
          <w:sz w:val="22"/>
          <w:szCs w:val="22"/>
          <w:lang w:val="en-GB"/>
        </w:rPr>
        <w:t xml:space="preserve"> of the Council</w:t>
      </w:r>
      <w:r w:rsidR="00EF1FAE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>should support a</w:t>
      </w:r>
      <w:r w:rsidR="00EF1FAE" w:rsidRPr="007805EF">
        <w:rPr>
          <w:rStyle w:val="markedcontent"/>
          <w:sz w:val="22"/>
          <w:szCs w:val="22"/>
          <w:lang w:val="en-GB"/>
        </w:rPr>
        <w:t xml:space="preserve"> stronger presence of </w:t>
      </w:r>
      <w:r w:rsidR="00982DEC" w:rsidRPr="007805EF">
        <w:rPr>
          <w:rStyle w:val="markedcontent"/>
          <w:sz w:val="22"/>
          <w:szCs w:val="22"/>
          <w:lang w:val="en-GB"/>
        </w:rPr>
        <w:t xml:space="preserve">EU </w:t>
      </w:r>
      <w:r w:rsidR="00EF1FAE" w:rsidRPr="007805EF">
        <w:rPr>
          <w:rStyle w:val="markedcontent"/>
          <w:sz w:val="22"/>
          <w:szCs w:val="22"/>
          <w:lang w:val="en-GB"/>
        </w:rPr>
        <w:t xml:space="preserve">LRAs at the </w:t>
      </w:r>
      <w:r w:rsidR="00982DEC" w:rsidRPr="007805EF">
        <w:rPr>
          <w:rStyle w:val="markedcontent"/>
          <w:sz w:val="22"/>
          <w:szCs w:val="22"/>
          <w:lang w:val="en-GB"/>
        </w:rPr>
        <w:t>COP</w:t>
      </w:r>
      <w:r w:rsidRPr="007805EF">
        <w:rPr>
          <w:rStyle w:val="markedcontent"/>
          <w:sz w:val="22"/>
          <w:szCs w:val="22"/>
          <w:lang w:val="en-GB"/>
        </w:rPr>
        <w:t>, to ensure that the important role of subnational governments in climate action is effectively represented and integrated in the</w:t>
      </w:r>
      <w:r w:rsidR="00C72451">
        <w:rPr>
          <w:rStyle w:val="markedcontent"/>
          <w:sz w:val="22"/>
          <w:szCs w:val="22"/>
          <w:lang w:val="en-GB"/>
        </w:rPr>
        <w:t xml:space="preserve"> preparations and during the</w:t>
      </w:r>
      <w:r w:rsidRPr="007805EF">
        <w:rPr>
          <w:rStyle w:val="markedcontent"/>
          <w:sz w:val="22"/>
          <w:szCs w:val="22"/>
          <w:lang w:val="en-GB"/>
        </w:rPr>
        <w:t xml:space="preserve"> negotiations.</w:t>
      </w:r>
    </w:p>
    <w:p w14:paraId="25703B6E" w14:textId="0942800E" w:rsidR="00EF1FAE" w:rsidRPr="007805EF" w:rsidRDefault="00EF1FAE" w:rsidP="00EF1FAE">
      <w:pPr>
        <w:pStyle w:val="NormalWeb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In </w:t>
      </w:r>
      <w:r w:rsidR="00FC0D45" w:rsidRPr="007805EF">
        <w:rPr>
          <w:rStyle w:val="markedcontent"/>
          <w:sz w:val="22"/>
          <w:szCs w:val="22"/>
          <w:lang w:val="en-GB"/>
        </w:rPr>
        <w:t>addition</w:t>
      </w:r>
      <w:r w:rsidRPr="007805EF">
        <w:rPr>
          <w:rStyle w:val="markedcontent"/>
          <w:sz w:val="22"/>
          <w:szCs w:val="22"/>
          <w:lang w:val="en-GB"/>
        </w:rPr>
        <w:t xml:space="preserve">, stronger partnerships and </w:t>
      </w:r>
      <w:r w:rsidR="00CF620A" w:rsidRPr="007805EF">
        <w:rPr>
          <w:rStyle w:val="markedcontent"/>
          <w:sz w:val="22"/>
          <w:szCs w:val="22"/>
          <w:lang w:val="en-GB"/>
        </w:rPr>
        <w:t xml:space="preserve">opportunities for </w:t>
      </w:r>
      <w:r w:rsidRPr="007805EF">
        <w:rPr>
          <w:rStyle w:val="markedcontent"/>
          <w:sz w:val="22"/>
          <w:szCs w:val="22"/>
          <w:lang w:val="en-GB"/>
        </w:rPr>
        <w:t xml:space="preserve">collaboration </w:t>
      </w:r>
      <w:r w:rsidR="00FC0D45" w:rsidRPr="007805EF">
        <w:rPr>
          <w:rStyle w:val="markedcontent"/>
          <w:sz w:val="22"/>
          <w:szCs w:val="22"/>
          <w:lang w:val="en-GB"/>
        </w:rPr>
        <w:t xml:space="preserve">will </w:t>
      </w:r>
      <w:r w:rsidRPr="007805EF">
        <w:rPr>
          <w:rStyle w:val="markedcontent"/>
          <w:sz w:val="22"/>
          <w:szCs w:val="22"/>
          <w:lang w:val="en-GB"/>
        </w:rPr>
        <w:t xml:space="preserve">be </w:t>
      </w:r>
      <w:r w:rsidR="00C72451">
        <w:rPr>
          <w:rStyle w:val="markedcontent"/>
          <w:sz w:val="22"/>
          <w:szCs w:val="22"/>
          <w:lang w:val="en-GB"/>
        </w:rPr>
        <w:t>established</w:t>
      </w:r>
      <w:r w:rsidR="00C72451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 xml:space="preserve">with stakeholders in the </w:t>
      </w:r>
      <w:r w:rsidR="00DD3290">
        <w:rPr>
          <w:rStyle w:val="markedcontent"/>
          <w:sz w:val="22"/>
          <w:szCs w:val="22"/>
          <w:lang w:val="en-GB"/>
        </w:rPr>
        <w:t xml:space="preserve">UNFCCC </w:t>
      </w:r>
      <w:r w:rsidRPr="007805EF">
        <w:rPr>
          <w:rStyle w:val="markedcontent"/>
          <w:sz w:val="22"/>
          <w:szCs w:val="22"/>
          <w:lang w:val="en-GB"/>
        </w:rPr>
        <w:t>Local Government and Municipal Authorities</w:t>
      </w:r>
      <w:r w:rsidR="00DD3290">
        <w:rPr>
          <w:rStyle w:val="markedcontent"/>
          <w:sz w:val="22"/>
          <w:szCs w:val="22"/>
          <w:lang w:val="en-GB"/>
        </w:rPr>
        <w:t xml:space="preserve"> </w:t>
      </w:r>
      <w:r w:rsidR="00DD3290" w:rsidRPr="007805EF">
        <w:rPr>
          <w:rStyle w:val="markedcontent"/>
          <w:sz w:val="22"/>
          <w:szCs w:val="22"/>
          <w:lang w:val="en-GB"/>
        </w:rPr>
        <w:t>(LGMA)</w:t>
      </w:r>
      <w:r w:rsidRPr="007805EF">
        <w:rPr>
          <w:rStyle w:val="markedcontent"/>
          <w:sz w:val="22"/>
          <w:szCs w:val="22"/>
          <w:lang w:val="en-GB"/>
        </w:rPr>
        <w:t xml:space="preserve"> Constituency </w:t>
      </w:r>
      <w:r w:rsidR="00982DEC" w:rsidRPr="007805EF">
        <w:rPr>
          <w:rStyle w:val="markedcontent"/>
          <w:sz w:val="22"/>
          <w:szCs w:val="22"/>
          <w:lang w:val="en-GB"/>
        </w:rPr>
        <w:t xml:space="preserve">and </w:t>
      </w:r>
      <w:r w:rsidRPr="007805EF">
        <w:rPr>
          <w:rStyle w:val="markedcontent"/>
          <w:sz w:val="22"/>
          <w:szCs w:val="22"/>
          <w:lang w:val="en-GB"/>
        </w:rPr>
        <w:t>the UNFCCC Friends of Multilevel Action</w:t>
      </w:r>
      <w:r w:rsidR="0071792D" w:rsidRPr="007805EF">
        <w:rPr>
          <w:rStyle w:val="markedcontent"/>
          <w:sz w:val="22"/>
          <w:szCs w:val="22"/>
          <w:lang w:val="en-GB"/>
        </w:rPr>
        <w:t>, as well as</w:t>
      </w:r>
      <w:r w:rsidR="00F11700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color w:val="202020"/>
          <w:sz w:val="22"/>
          <w:szCs w:val="22"/>
          <w:shd w:val="clear" w:color="auto" w:fill="FFFFFF"/>
          <w:lang w:val="en-GB"/>
        </w:rPr>
        <w:t xml:space="preserve">with the </w:t>
      </w:r>
      <w:r w:rsidR="00982DEC" w:rsidRPr="007805EF">
        <w:rPr>
          <w:color w:val="202020"/>
          <w:sz w:val="22"/>
          <w:szCs w:val="22"/>
          <w:shd w:val="clear" w:color="auto" w:fill="FFFFFF"/>
          <w:lang w:val="en-GB"/>
        </w:rPr>
        <w:t xml:space="preserve">High-Level </w:t>
      </w:r>
      <w:r w:rsidRPr="007805EF">
        <w:rPr>
          <w:color w:val="202020"/>
          <w:sz w:val="22"/>
          <w:szCs w:val="22"/>
          <w:shd w:val="clear" w:color="auto" w:fill="FFFFFF"/>
          <w:lang w:val="en-GB"/>
        </w:rPr>
        <w:t>Climate Champions in delivering on the priorities of the Breakthrough Agenda</w:t>
      </w:r>
      <w:r w:rsidR="0071792D" w:rsidRPr="007805EF">
        <w:rPr>
          <w:color w:val="202020"/>
          <w:sz w:val="22"/>
          <w:szCs w:val="22"/>
          <w:shd w:val="clear" w:color="auto" w:fill="FFFFFF"/>
          <w:lang w:val="en-GB"/>
        </w:rPr>
        <w:t>.</w:t>
      </w:r>
    </w:p>
    <w:p w14:paraId="43D0CB9A" w14:textId="07575BC1" w:rsidR="0066331A" w:rsidRPr="00D45C34" w:rsidRDefault="00EF1FAE" w:rsidP="00D45C34">
      <w:pPr>
        <w:pStyle w:val="NormalWeb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The momentum offered by the first-ever Urbanization and Climate Ministerial at COP27, which brought together the climate and urban communities at both national and subnational level, should continue, and </w:t>
      </w:r>
      <w:r w:rsidR="0030521C" w:rsidRPr="007805EF">
        <w:rPr>
          <w:rStyle w:val="markedcontent"/>
          <w:sz w:val="22"/>
          <w:szCs w:val="22"/>
          <w:lang w:val="en-GB"/>
        </w:rPr>
        <w:t>a second Ministerial should be organised at COP28 to</w:t>
      </w:r>
      <w:r w:rsidRPr="007805EF">
        <w:rPr>
          <w:rStyle w:val="markedcontent"/>
          <w:sz w:val="22"/>
          <w:szCs w:val="22"/>
          <w:lang w:val="en-GB"/>
        </w:rPr>
        <w:t xml:space="preserve"> support</w:t>
      </w:r>
      <w:r w:rsidR="0030521C" w:rsidRPr="007805EF">
        <w:rPr>
          <w:rStyle w:val="markedcontent"/>
          <w:sz w:val="22"/>
          <w:szCs w:val="22"/>
          <w:lang w:val="en-GB"/>
        </w:rPr>
        <w:t xml:space="preserve"> it</w:t>
      </w:r>
      <w:r w:rsidRPr="007805EF">
        <w:rPr>
          <w:rStyle w:val="markedcontent"/>
          <w:sz w:val="22"/>
          <w:szCs w:val="22"/>
          <w:lang w:val="en-GB"/>
        </w:rPr>
        <w:t xml:space="preserve">. </w:t>
      </w:r>
      <w:r w:rsidR="00982DEC" w:rsidRPr="007805EF">
        <w:rPr>
          <w:rStyle w:val="markedcontent"/>
          <w:sz w:val="22"/>
          <w:szCs w:val="22"/>
          <w:lang w:val="en-GB"/>
        </w:rPr>
        <w:t xml:space="preserve">In addition, </w:t>
      </w:r>
      <w:r w:rsidR="0030521C" w:rsidRPr="007805EF">
        <w:rPr>
          <w:rStyle w:val="markedcontent"/>
          <w:sz w:val="22"/>
          <w:szCs w:val="22"/>
          <w:lang w:val="en-GB"/>
        </w:rPr>
        <w:t xml:space="preserve">further support should be given to </w:t>
      </w:r>
      <w:r w:rsidRPr="007805EF">
        <w:rPr>
          <w:color w:val="202020"/>
          <w:sz w:val="22"/>
          <w:szCs w:val="22"/>
          <w:shd w:val="clear" w:color="auto" w:fill="FFFFFF"/>
          <w:lang w:val="en-GB"/>
        </w:rPr>
        <w:t>the</w:t>
      </w:r>
      <w:r w:rsidR="0071792D" w:rsidRPr="007805EF">
        <w:rPr>
          <w:color w:val="202020"/>
          <w:sz w:val="22"/>
          <w:szCs w:val="22"/>
          <w:shd w:val="clear" w:color="auto" w:fill="FFFFFF"/>
          <w:lang w:val="en-GB"/>
        </w:rPr>
        <w:t xml:space="preserve"> COP27</w:t>
      </w:r>
      <w:r w:rsidRPr="007805EF">
        <w:rPr>
          <w:color w:val="202020"/>
          <w:sz w:val="22"/>
          <w:szCs w:val="22"/>
          <w:shd w:val="clear" w:color="auto" w:fill="FFFFFF"/>
          <w:lang w:val="en-GB"/>
        </w:rPr>
        <w:t xml:space="preserve"> </w:t>
      </w:r>
      <w:hyperlink r:id="rId31" w:history="1">
        <w:r w:rsidRPr="007805EF">
          <w:rPr>
            <w:rStyle w:val="Lienhypertexte"/>
            <w:color w:val="1155CC"/>
            <w:sz w:val="22"/>
            <w:szCs w:val="22"/>
            <w:lang w:val="en-GB"/>
          </w:rPr>
          <w:t>Sustainable Urban Resilience for the Next Generation (SURGe) Initiative</w:t>
        </w:r>
      </w:hyperlink>
      <w:r w:rsidR="00BF177A">
        <w:rPr>
          <w:color w:val="202020"/>
          <w:sz w:val="22"/>
          <w:szCs w:val="22"/>
          <w:shd w:val="clear" w:color="auto" w:fill="FFFFFF"/>
          <w:lang w:val="en-GB"/>
        </w:rPr>
        <w:t xml:space="preserve">, </w:t>
      </w:r>
      <w:r w:rsidR="00BF177A" w:rsidRPr="00EF1FAE">
        <w:rPr>
          <w:color w:val="202020"/>
          <w:sz w:val="22"/>
          <w:szCs w:val="22"/>
          <w:shd w:val="clear" w:color="auto" w:fill="FFFFFF"/>
          <w:lang w:val="en-IE"/>
        </w:rPr>
        <w:t>with the objective to enhance and accelerate local climate action through multilevel governance, engagement, and delivery through five integrated tracks</w:t>
      </w:r>
      <w:r w:rsidR="00FF2F93">
        <w:rPr>
          <w:color w:val="202020"/>
          <w:sz w:val="22"/>
          <w:szCs w:val="22"/>
          <w:shd w:val="clear" w:color="auto" w:fill="FFFFFF"/>
          <w:lang w:val="en-IE"/>
        </w:rPr>
        <w:t>.</w:t>
      </w:r>
    </w:p>
    <w:p w14:paraId="3E1C4477" w14:textId="391DB5B6" w:rsidR="00EF1FAE" w:rsidRPr="007805EF" w:rsidRDefault="00EF1FAE" w:rsidP="00EF1FAE">
      <w:pPr>
        <w:pStyle w:val="NormalWeb"/>
        <w:jc w:val="both"/>
        <w:rPr>
          <w:rStyle w:val="markedcontent"/>
          <w:b/>
          <w:i/>
          <w:sz w:val="22"/>
          <w:szCs w:val="22"/>
          <w:lang w:val="en-GB"/>
        </w:rPr>
      </w:pPr>
      <w:r w:rsidRPr="007805EF">
        <w:rPr>
          <w:rStyle w:val="markedcontent"/>
          <w:b/>
          <w:i/>
          <w:sz w:val="22"/>
          <w:szCs w:val="22"/>
          <w:lang w:val="en-GB"/>
        </w:rPr>
        <w:t>Questions:</w:t>
      </w:r>
    </w:p>
    <w:p w14:paraId="5D7B6E9B" w14:textId="60037F85" w:rsidR="00EF1FAE" w:rsidRPr="007805EF" w:rsidRDefault="00EF1FAE" w:rsidP="00C57EBB">
      <w:pPr>
        <w:pStyle w:val="NormalWeb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What are the main benefits for cities and regions in actively contributing and taking part at </w:t>
      </w:r>
      <w:r w:rsidR="00C57EBB" w:rsidRPr="007805EF">
        <w:rPr>
          <w:rStyle w:val="markedcontent"/>
          <w:sz w:val="22"/>
          <w:szCs w:val="22"/>
          <w:lang w:val="en-GB"/>
        </w:rPr>
        <w:t xml:space="preserve">UNFCCC </w:t>
      </w:r>
      <w:r w:rsidRPr="007805EF">
        <w:rPr>
          <w:rStyle w:val="markedcontent"/>
          <w:sz w:val="22"/>
          <w:szCs w:val="22"/>
          <w:lang w:val="en-GB"/>
        </w:rPr>
        <w:t>COPs</w:t>
      </w:r>
      <w:r w:rsidR="00C57EBB" w:rsidRPr="007805EF">
        <w:rPr>
          <w:rStyle w:val="markedcontent"/>
          <w:sz w:val="22"/>
          <w:szCs w:val="22"/>
          <w:lang w:val="en-GB"/>
        </w:rPr>
        <w:t>?</w:t>
      </w:r>
      <w:r w:rsidRPr="007805EF">
        <w:rPr>
          <w:rStyle w:val="markedcontent"/>
          <w:sz w:val="22"/>
          <w:szCs w:val="22"/>
          <w:lang w:val="en-GB"/>
        </w:rPr>
        <w:t xml:space="preserve"> </w:t>
      </w:r>
      <w:r w:rsidR="00C57EBB" w:rsidRPr="007805EF">
        <w:rPr>
          <w:rStyle w:val="markedcontent"/>
          <w:sz w:val="22"/>
          <w:szCs w:val="22"/>
          <w:lang w:val="en-GB"/>
        </w:rPr>
        <w:t>H</w:t>
      </w:r>
      <w:r w:rsidRPr="007805EF">
        <w:rPr>
          <w:rStyle w:val="markedcontent"/>
          <w:sz w:val="22"/>
          <w:szCs w:val="22"/>
          <w:lang w:val="en-GB"/>
        </w:rPr>
        <w:t xml:space="preserve">ow can </w:t>
      </w:r>
      <w:r w:rsidR="00C57EBB" w:rsidRPr="007805EF">
        <w:rPr>
          <w:rStyle w:val="markedcontent"/>
          <w:sz w:val="22"/>
          <w:szCs w:val="22"/>
          <w:lang w:val="en-GB"/>
        </w:rPr>
        <w:t xml:space="preserve">subnational governments better </w:t>
      </w:r>
      <w:r w:rsidRPr="007805EF">
        <w:rPr>
          <w:rStyle w:val="markedcontent"/>
          <w:sz w:val="22"/>
          <w:szCs w:val="22"/>
          <w:lang w:val="en-GB"/>
        </w:rPr>
        <w:t xml:space="preserve">demonstrate </w:t>
      </w:r>
      <w:r w:rsidR="00C57EBB" w:rsidRPr="007805EF">
        <w:rPr>
          <w:rStyle w:val="markedcontent"/>
          <w:sz w:val="22"/>
          <w:szCs w:val="22"/>
          <w:lang w:val="en-GB"/>
        </w:rPr>
        <w:t xml:space="preserve">their </w:t>
      </w:r>
      <w:r w:rsidRPr="007805EF">
        <w:rPr>
          <w:rStyle w:val="markedcontent"/>
          <w:sz w:val="22"/>
          <w:szCs w:val="22"/>
          <w:lang w:val="en-GB"/>
        </w:rPr>
        <w:t>leadership, ambitious actions, and meaningful impact at COP</w:t>
      </w:r>
      <w:r w:rsidR="00C57EBB" w:rsidRPr="007805EF">
        <w:rPr>
          <w:rStyle w:val="markedcontent"/>
          <w:sz w:val="22"/>
          <w:szCs w:val="22"/>
          <w:lang w:val="en-GB"/>
        </w:rPr>
        <w:t>28</w:t>
      </w:r>
      <w:r w:rsidRPr="007805EF">
        <w:rPr>
          <w:rStyle w:val="markedcontent"/>
          <w:sz w:val="22"/>
          <w:szCs w:val="22"/>
          <w:lang w:val="en-GB"/>
        </w:rPr>
        <w:t>?</w:t>
      </w:r>
    </w:p>
    <w:p w14:paraId="142E3D60" w14:textId="118883B6" w:rsidR="005F1494" w:rsidRPr="007805EF" w:rsidRDefault="005F1494" w:rsidP="00C57EBB">
      <w:pPr>
        <w:pStyle w:val="NormalWeb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lastRenderedPageBreak/>
        <w:t xml:space="preserve">How are cities and regions helping to </w:t>
      </w:r>
      <w:r w:rsidR="00A71F7F" w:rsidRPr="007805EF">
        <w:rPr>
          <w:rStyle w:val="markedcontent"/>
          <w:sz w:val="22"/>
          <w:szCs w:val="22"/>
          <w:lang w:val="en-GB"/>
        </w:rPr>
        <w:t>strengthen</w:t>
      </w:r>
      <w:r w:rsidRPr="007805EF">
        <w:rPr>
          <w:rStyle w:val="markedcontent"/>
          <w:sz w:val="22"/>
          <w:szCs w:val="22"/>
          <w:lang w:val="en-GB"/>
        </w:rPr>
        <w:t xml:space="preserve"> </w:t>
      </w:r>
      <w:r w:rsidR="00A71F7F" w:rsidRPr="007805EF">
        <w:rPr>
          <w:rStyle w:val="markedcontent"/>
          <w:sz w:val="22"/>
          <w:szCs w:val="22"/>
          <w:lang w:val="en-GB"/>
        </w:rPr>
        <w:t xml:space="preserve">the </w:t>
      </w:r>
      <w:r w:rsidRPr="007805EF">
        <w:rPr>
          <w:rStyle w:val="markedcontent"/>
          <w:sz w:val="22"/>
          <w:szCs w:val="22"/>
          <w:lang w:val="en-GB"/>
        </w:rPr>
        <w:t>ambition of their national governments and why should cooperation across all levels of government be increased?</w:t>
      </w:r>
    </w:p>
    <w:p w14:paraId="634F274B" w14:textId="10391571" w:rsidR="00EF1FAE" w:rsidRPr="007805EF" w:rsidRDefault="00C57EBB" w:rsidP="00C57EBB">
      <w:pPr>
        <w:pStyle w:val="NormalWeb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How </w:t>
      </w:r>
      <w:r w:rsidR="00EF1FAE" w:rsidRPr="007805EF">
        <w:rPr>
          <w:rStyle w:val="markedcontent"/>
          <w:sz w:val="22"/>
          <w:szCs w:val="22"/>
          <w:lang w:val="en-GB"/>
        </w:rPr>
        <w:t>are COPs</w:t>
      </w:r>
      <w:r w:rsidRPr="007805EF">
        <w:rPr>
          <w:rStyle w:val="markedcontent"/>
          <w:sz w:val="22"/>
          <w:szCs w:val="22"/>
          <w:lang w:val="en-GB"/>
        </w:rPr>
        <w:t>'</w:t>
      </w:r>
      <w:r w:rsidR="00EF1FAE" w:rsidRPr="007805EF">
        <w:rPr>
          <w:rStyle w:val="markedcontent"/>
          <w:sz w:val="22"/>
          <w:szCs w:val="22"/>
          <w:lang w:val="en-GB"/>
        </w:rPr>
        <w:t xml:space="preserve"> decisions impacting the </w:t>
      </w:r>
      <w:r w:rsidRPr="007805EF">
        <w:rPr>
          <w:rStyle w:val="markedcontent"/>
          <w:sz w:val="22"/>
          <w:szCs w:val="22"/>
          <w:lang w:val="en-GB"/>
        </w:rPr>
        <w:t xml:space="preserve">subnational </w:t>
      </w:r>
      <w:r w:rsidR="00EF1FAE" w:rsidRPr="007805EF">
        <w:rPr>
          <w:rStyle w:val="markedcontent"/>
          <w:sz w:val="22"/>
          <w:szCs w:val="22"/>
          <w:lang w:val="en-GB"/>
        </w:rPr>
        <w:t>level and how can they support local</w:t>
      </w:r>
      <w:r w:rsidRPr="007805EF">
        <w:rPr>
          <w:rStyle w:val="markedcontent"/>
          <w:sz w:val="22"/>
          <w:szCs w:val="22"/>
          <w:lang w:val="en-GB"/>
        </w:rPr>
        <w:t xml:space="preserve"> and regional</w:t>
      </w:r>
      <w:r w:rsidR="00EF1FAE" w:rsidRPr="007805EF">
        <w:rPr>
          <w:rStyle w:val="markedcontent"/>
          <w:sz w:val="22"/>
          <w:szCs w:val="22"/>
          <w:lang w:val="en-GB"/>
        </w:rPr>
        <w:t xml:space="preserve"> polic</w:t>
      </w:r>
      <w:r w:rsidR="00A71F7F" w:rsidRPr="007805EF">
        <w:rPr>
          <w:rStyle w:val="markedcontent"/>
          <w:sz w:val="22"/>
          <w:szCs w:val="22"/>
          <w:lang w:val="en-GB"/>
        </w:rPr>
        <w:t>y</w:t>
      </w:r>
      <w:r w:rsidR="00EF1FAE" w:rsidRPr="007805EF">
        <w:rPr>
          <w:rStyle w:val="markedcontent"/>
          <w:sz w:val="22"/>
          <w:szCs w:val="22"/>
          <w:lang w:val="en-GB"/>
        </w:rPr>
        <w:t xml:space="preserve"> implementation? How can subnational </w:t>
      </w:r>
      <w:r w:rsidRPr="007805EF">
        <w:rPr>
          <w:rStyle w:val="markedcontent"/>
          <w:sz w:val="22"/>
          <w:szCs w:val="22"/>
          <w:lang w:val="en-GB"/>
        </w:rPr>
        <w:t xml:space="preserve">authorities further </w:t>
      </w:r>
      <w:r w:rsidR="00EF1FAE" w:rsidRPr="007805EF">
        <w:rPr>
          <w:rStyle w:val="markedcontent"/>
          <w:sz w:val="22"/>
          <w:szCs w:val="22"/>
          <w:lang w:val="en-GB"/>
        </w:rPr>
        <w:t>contribute to the Global Stocktake of the Paris Agreement?</w:t>
      </w:r>
    </w:p>
    <w:p w14:paraId="0ABA7A2E" w14:textId="7822E616" w:rsidR="00EF1FAE" w:rsidRDefault="00EF1FAE" w:rsidP="00F11700">
      <w:pPr>
        <w:pStyle w:val="NormalWeb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rStyle w:val="markedcontent"/>
          <w:sz w:val="22"/>
          <w:szCs w:val="22"/>
          <w:lang w:val="en-GB"/>
        </w:rPr>
      </w:pPr>
      <w:r w:rsidRPr="007805EF">
        <w:rPr>
          <w:rStyle w:val="markedcontent"/>
          <w:sz w:val="22"/>
          <w:szCs w:val="22"/>
          <w:lang w:val="en-GB"/>
        </w:rPr>
        <w:t xml:space="preserve">What key barriers </w:t>
      </w:r>
      <w:r w:rsidR="007C1A2C" w:rsidRPr="007805EF">
        <w:rPr>
          <w:rStyle w:val="markedcontent"/>
          <w:sz w:val="22"/>
          <w:szCs w:val="22"/>
          <w:lang w:val="en-GB"/>
        </w:rPr>
        <w:t>must be</w:t>
      </w:r>
      <w:r w:rsidRPr="007805EF">
        <w:rPr>
          <w:rStyle w:val="markedcontent"/>
          <w:sz w:val="22"/>
          <w:szCs w:val="22"/>
          <w:lang w:val="en-GB"/>
        </w:rPr>
        <w:t xml:space="preserve"> overcome </w:t>
      </w:r>
      <w:r w:rsidR="005F1494" w:rsidRPr="007805EF">
        <w:rPr>
          <w:rStyle w:val="markedcontent"/>
          <w:sz w:val="22"/>
          <w:szCs w:val="22"/>
          <w:lang w:val="en-GB"/>
        </w:rPr>
        <w:t xml:space="preserve">in order </w:t>
      </w:r>
      <w:r w:rsidR="007805EF">
        <w:rPr>
          <w:rStyle w:val="markedcontent"/>
          <w:sz w:val="22"/>
          <w:szCs w:val="22"/>
          <w:lang w:val="en-GB"/>
        </w:rPr>
        <w:t>to recognise</w:t>
      </w:r>
      <w:r w:rsidR="007805EF" w:rsidRPr="007805EF">
        <w:rPr>
          <w:rStyle w:val="markedcontent"/>
          <w:sz w:val="22"/>
          <w:szCs w:val="22"/>
          <w:lang w:val="en-GB"/>
        </w:rPr>
        <w:t xml:space="preserve"> </w:t>
      </w:r>
      <w:r w:rsidRPr="007805EF">
        <w:rPr>
          <w:rStyle w:val="markedcontent"/>
          <w:sz w:val="22"/>
          <w:szCs w:val="22"/>
          <w:lang w:val="en-GB"/>
        </w:rPr>
        <w:t>LRA</w:t>
      </w:r>
      <w:r w:rsidR="005F1494" w:rsidRPr="007805EF">
        <w:rPr>
          <w:rStyle w:val="markedcontent"/>
          <w:sz w:val="22"/>
          <w:szCs w:val="22"/>
          <w:lang w:val="en-GB"/>
        </w:rPr>
        <w:t>s</w:t>
      </w:r>
      <w:r w:rsidR="00D45C34">
        <w:rPr>
          <w:rStyle w:val="markedcontent"/>
          <w:sz w:val="22"/>
          <w:szCs w:val="22"/>
          <w:lang w:val="en-GB"/>
        </w:rPr>
        <w:t>'</w:t>
      </w:r>
      <w:r w:rsidRPr="007805EF">
        <w:rPr>
          <w:rStyle w:val="markedcontent"/>
          <w:sz w:val="22"/>
          <w:szCs w:val="22"/>
          <w:lang w:val="en-GB"/>
        </w:rPr>
        <w:t xml:space="preserve"> contribution to climate action decision making (</w:t>
      </w:r>
      <w:r w:rsidR="00D45C34" w:rsidRPr="007805EF">
        <w:rPr>
          <w:rStyle w:val="markedcontent"/>
          <w:sz w:val="22"/>
          <w:szCs w:val="22"/>
          <w:lang w:val="en-GB"/>
        </w:rPr>
        <w:t>e.g.,</w:t>
      </w:r>
      <w:r w:rsidR="007C1A2C" w:rsidRPr="007805EF">
        <w:rPr>
          <w:rStyle w:val="markedcontent"/>
          <w:sz w:val="22"/>
          <w:szCs w:val="22"/>
          <w:lang w:val="en-GB"/>
        </w:rPr>
        <w:t xml:space="preserve"> in </w:t>
      </w:r>
      <w:r w:rsidRPr="007805EF">
        <w:rPr>
          <w:rStyle w:val="markedcontent"/>
          <w:sz w:val="22"/>
          <w:szCs w:val="22"/>
          <w:lang w:val="en-GB"/>
        </w:rPr>
        <w:t>discussi</w:t>
      </w:r>
      <w:r w:rsidR="007C1A2C" w:rsidRPr="007805EF">
        <w:rPr>
          <w:rStyle w:val="markedcontent"/>
          <w:sz w:val="22"/>
          <w:szCs w:val="22"/>
          <w:lang w:val="en-GB"/>
        </w:rPr>
        <w:t>ons</w:t>
      </w:r>
      <w:r w:rsidRPr="007805EF">
        <w:rPr>
          <w:rStyle w:val="markedcontent"/>
          <w:sz w:val="22"/>
          <w:szCs w:val="22"/>
          <w:lang w:val="en-GB"/>
        </w:rPr>
        <w:t xml:space="preserve"> with </w:t>
      </w:r>
      <w:r w:rsidR="005F1494" w:rsidRPr="007805EF">
        <w:rPr>
          <w:rStyle w:val="markedcontent"/>
          <w:sz w:val="22"/>
          <w:szCs w:val="22"/>
          <w:lang w:val="en-GB"/>
        </w:rPr>
        <w:t>n</w:t>
      </w:r>
      <w:r w:rsidRPr="007805EF">
        <w:rPr>
          <w:rStyle w:val="markedcontent"/>
          <w:sz w:val="22"/>
          <w:szCs w:val="22"/>
          <w:lang w:val="en-GB"/>
        </w:rPr>
        <w:t xml:space="preserve">ational </w:t>
      </w:r>
      <w:r w:rsidR="00D45C34">
        <w:rPr>
          <w:rStyle w:val="markedcontent"/>
          <w:sz w:val="22"/>
          <w:szCs w:val="22"/>
          <w:lang w:val="en-GB"/>
        </w:rPr>
        <w:t>governments</w:t>
      </w:r>
      <w:r w:rsidRPr="007805EF">
        <w:rPr>
          <w:rStyle w:val="markedcontent"/>
          <w:sz w:val="22"/>
          <w:szCs w:val="22"/>
          <w:lang w:val="en-GB"/>
        </w:rPr>
        <w:t>)?</w:t>
      </w:r>
    </w:p>
    <w:p w14:paraId="5EEB6DFA" w14:textId="6DE1C4FD" w:rsidR="00C72451" w:rsidRPr="007805EF" w:rsidRDefault="00C72451" w:rsidP="00F11700">
      <w:pPr>
        <w:pStyle w:val="NormalWeb"/>
        <w:numPr>
          <w:ilvl w:val="0"/>
          <w:numId w:val="21"/>
        </w:numPr>
        <w:spacing w:before="120" w:beforeAutospacing="0" w:after="120" w:afterAutospacing="0"/>
        <w:ind w:left="714" w:hanging="357"/>
        <w:jc w:val="both"/>
        <w:rPr>
          <w:sz w:val="22"/>
          <w:szCs w:val="22"/>
          <w:lang w:val="en-GB"/>
        </w:rPr>
      </w:pPr>
      <w:r>
        <w:rPr>
          <w:rStyle w:val="markedcontent"/>
          <w:sz w:val="22"/>
          <w:szCs w:val="22"/>
          <w:lang w:val="en-IE"/>
        </w:rPr>
        <w:t xml:space="preserve">How can LRAs be better supported technically and financially to keep </w:t>
      </w:r>
      <w:r w:rsidRPr="006F0E14">
        <w:rPr>
          <w:rStyle w:val="markedcontent"/>
          <w:sz w:val="22"/>
          <w:szCs w:val="22"/>
          <w:lang w:val="en-IE"/>
        </w:rPr>
        <w:t>climate ambition on track</w:t>
      </w:r>
      <w:r>
        <w:rPr>
          <w:rStyle w:val="markedcontent"/>
          <w:sz w:val="22"/>
          <w:szCs w:val="22"/>
          <w:lang w:val="en-IE"/>
        </w:rPr>
        <w:t>?</w:t>
      </w:r>
    </w:p>
    <w:p w14:paraId="2EEDFD5F" w14:textId="77777777" w:rsidR="00EF1FAE" w:rsidRPr="007805EF" w:rsidRDefault="00EF1FAE" w:rsidP="00EF1FAE">
      <w:pPr>
        <w:pStyle w:val="NormalWeb"/>
        <w:jc w:val="both"/>
        <w:rPr>
          <w:sz w:val="22"/>
          <w:szCs w:val="22"/>
          <w:highlight w:val="yellow"/>
          <w:lang w:val="en-GB"/>
        </w:rPr>
      </w:pPr>
    </w:p>
    <w:p w14:paraId="0DC5B5F1" w14:textId="387141FF" w:rsidR="005A62E6" w:rsidRPr="007805EF" w:rsidRDefault="005A62E6" w:rsidP="009C2378">
      <w:pPr>
        <w:tabs>
          <w:tab w:val="left" w:pos="567"/>
        </w:tabs>
        <w:spacing w:before="240" w:line="240" w:lineRule="auto"/>
        <w:ind w:left="360"/>
        <w:jc w:val="left"/>
        <w:rPr>
          <w:lang w:val="en-GB"/>
        </w:rPr>
      </w:pPr>
      <w:r w:rsidRPr="007805EF">
        <w:rPr>
          <w:lang w:val="en-GB"/>
        </w:rPr>
        <w:br w:type="page"/>
      </w:r>
    </w:p>
    <w:p w14:paraId="3331663C" w14:textId="77777777" w:rsidR="005A62E6" w:rsidRPr="007805EF" w:rsidRDefault="005A62E6" w:rsidP="005A62E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lang w:val="en-GB"/>
        </w:rPr>
      </w:pPr>
      <w:r w:rsidRPr="007805EF">
        <w:rPr>
          <w:b/>
          <w:bCs/>
          <w:lang w:val="en-GB"/>
        </w:rPr>
        <w:lastRenderedPageBreak/>
        <w:t>PROCEDURE</w:t>
      </w:r>
    </w:p>
    <w:p w14:paraId="092BED95" w14:textId="77777777" w:rsidR="005A62E6" w:rsidRPr="007805EF" w:rsidRDefault="005A62E6" w:rsidP="005A62E6">
      <w:pPr>
        <w:rPr>
          <w:lang w:val="en-GB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8"/>
        <w:gridCol w:w="5441"/>
      </w:tblGrid>
      <w:tr w:rsidR="005A62E6" w:rsidRPr="002E2344" w14:paraId="530B6AC1" w14:textId="77777777" w:rsidTr="005A62E6">
        <w:tc>
          <w:tcPr>
            <w:tcW w:w="3848" w:type="dxa"/>
            <w:noWrap/>
          </w:tcPr>
          <w:p w14:paraId="7546222D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Title</w:t>
            </w:r>
          </w:p>
          <w:p w14:paraId="1E9A0944" w14:textId="77777777" w:rsidR="005A62E6" w:rsidRPr="007805EF" w:rsidRDefault="005A62E6" w:rsidP="005A62E6">
            <w:pPr>
              <w:jc w:val="left"/>
              <w:rPr>
                <w:lang w:val="en-GB"/>
              </w:rPr>
            </w:pPr>
          </w:p>
        </w:tc>
        <w:tc>
          <w:tcPr>
            <w:tcW w:w="5441" w:type="dxa"/>
            <w:noWrap/>
          </w:tcPr>
          <w:p w14:paraId="1662455B" w14:textId="123E8F35" w:rsidR="005A62E6" w:rsidRPr="007805EF" w:rsidRDefault="005A10F9" w:rsidP="005A62E6">
            <w:pPr>
              <w:rPr>
                <w:lang w:val="en-GB"/>
              </w:rPr>
            </w:pPr>
            <w:r w:rsidRPr="007805EF">
              <w:rPr>
                <w:lang w:val="en-GB"/>
              </w:rPr>
              <w:t xml:space="preserve">UNFCCC COP28: the role of subnational authorities in keeping climate ambition on track </w:t>
            </w:r>
          </w:p>
        </w:tc>
      </w:tr>
      <w:tr w:rsidR="005A62E6" w:rsidRPr="002E2344" w14:paraId="2E05C1FF" w14:textId="77777777" w:rsidTr="005A62E6">
        <w:tc>
          <w:tcPr>
            <w:tcW w:w="3848" w:type="dxa"/>
            <w:noWrap/>
          </w:tcPr>
          <w:p w14:paraId="780B5EE1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 xml:space="preserve">Reference(s) </w:t>
            </w:r>
          </w:p>
        </w:tc>
        <w:tc>
          <w:tcPr>
            <w:tcW w:w="5441" w:type="dxa"/>
            <w:noWrap/>
          </w:tcPr>
          <w:p w14:paraId="6743C5BD" w14:textId="002FAD66" w:rsidR="005A62E6" w:rsidRPr="007805EF" w:rsidRDefault="005A62E6" w:rsidP="005A62E6">
            <w:pPr>
              <w:rPr>
                <w:lang w:val="en-GB"/>
              </w:rPr>
            </w:pPr>
          </w:p>
        </w:tc>
      </w:tr>
      <w:tr w:rsidR="005A62E6" w:rsidRPr="002E2344" w14:paraId="2EB8BB44" w14:textId="77777777" w:rsidTr="005A62E6">
        <w:tc>
          <w:tcPr>
            <w:tcW w:w="3848" w:type="dxa"/>
            <w:noWrap/>
          </w:tcPr>
          <w:p w14:paraId="2DF0216A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Legal basis</w:t>
            </w:r>
          </w:p>
        </w:tc>
        <w:tc>
          <w:tcPr>
            <w:tcW w:w="5441" w:type="dxa"/>
            <w:noWrap/>
          </w:tcPr>
          <w:p w14:paraId="703EA7D0" w14:textId="6E382334" w:rsidR="005A62E6" w:rsidRPr="007805EF" w:rsidRDefault="005A62E6" w:rsidP="005A62E6">
            <w:pPr>
              <w:rPr>
                <w:lang w:val="en-GB"/>
              </w:rPr>
            </w:pPr>
            <w:r w:rsidRPr="007805EF">
              <w:rPr>
                <w:lang w:val="en-GB"/>
              </w:rPr>
              <w:t>Own-initiative opinion</w:t>
            </w:r>
          </w:p>
        </w:tc>
      </w:tr>
      <w:tr w:rsidR="005A62E6" w:rsidRPr="002E2344" w14:paraId="20B7932A" w14:textId="77777777" w:rsidTr="005A62E6">
        <w:tc>
          <w:tcPr>
            <w:tcW w:w="3848" w:type="dxa"/>
            <w:noWrap/>
          </w:tcPr>
          <w:p w14:paraId="7FF4FE55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Procedural basis</w:t>
            </w:r>
          </w:p>
        </w:tc>
        <w:tc>
          <w:tcPr>
            <w:tcW w:w="5441" w:type="dxa"/>
            <w:noWrap/>
          </w:tcPr>
          <w:p w14:paraId="74CE12E3" w14:textId="7AAB61CC" w:rsidR="005A62E6" w:rsidRPr="007805EF" w:rsidRDefault="005A62E6" w:rsidP="005A62E6">
            <w:pPr>
              <w:rPr>
                <w:lang w:val="en-GB"/>
              </w:rPr>
            </w:pPr>
            <w:r w:rsidRPr="007805EF">
              <w:rPr>
                <w:lang w:val="en-GB"/>
              </w:rPr>
              <w:t>Rule 41 b) ii RoP</w:t>
            </w:r>
          </w:p>
        </w:tc>
      </w:tr>
      <w:tr w:rsidR="005A62E6" w:rsidRPr="002E2344" w14:paraId="05C53333" w14:textId="77777777" w:rsidTr="005A62E6">
        <w:tc>
          <w:tcPr>
            <w:tcW w:w="3848" w:type="dxa"/>
          </w:tcPr>
          <w:p w14:paraId="74755FA5" w14:textId="77777777" w:rsidR="005A62E6" w:rsidRPr="007805EF" w:rsidRDefault="005A62E6" w:rsidP="005A62E6">
            <w:pPr>
              <w:jc w:val="left"/>
              <w:rPr>
                <w:lang w:val="en-GB"/>
              </w:rPr>
            </w:pPr>
            <w:r w:rsidRPr="007805EF">
              <w:rPr>
                <w:b/>
                <w:bCs/>
                <w:lang w:val="en-GB"/>
              </w:rPr>
              <w:t>Date of Bureau/President's decision</w:t>
            </w:r>
          </w:p>
        </w:tc>
        <w:tc>
          <w:tcPr>
            <w:tcW w:w="5441" w:type="dxa"/>
            <w:noWrap/>
          </w:tcPr>
          <w:p w14:paraId="55E32311" w14:textId="0881806D" w:rsidR="005A62E6" w:rsidRPr="007805EF" w:rsidRDefault="005A62E6" w:rsidP="005A62E6">
            <w:pPr>
              <w:rPr>
                <w:lang w:val="en-GB"/>
              </w:rPr>
            </w:pPr>
            <w:r w:rsidRPr="007805EF">
              <w:rPr>
                <w:lang w:val="en-GB"/>
              </w:rPr>
              <w:t>7 February 2023</w:t>
            </w:r>
          </w:p>
        </w:tc>
      </w:tr>
      <w:tr w:rsidR="005A62E6" w:rsidRPr="002E2344" w14:paraId="5C3AA8C5" w14:textId="77777777" w:rsidTr="005A62E6">
        <w:tc>
          <w:tcPr>
            <w:tcW w:w="3848" w:type="dxa"/>
            <w:noWrap/>
          </w:tcPr>
          <w:p w14:paraId="7949CDD7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Commission responsible</w:t>
            </w:r>
          </w:p>
        </w:tc>
        <w:tc>
          <w:tcPr>
            <w:tcW w:w="5441" w:type="dxa"/>
            <w:noWrap/>
          </w:tcPr>
          <w:p w14:paraId="1F6AB8A7" w14:textId="2429626D" w:rsidR="005A62E6" w:rsidRPr="007805EF" w:rsidRDefault="005A62E6" w:rsidP="005A62E6">
            <w:pPr>
              <w:rPr>
                <w:lang w:val="en-GB"/>
              </w:rPr>
            </w:pPr>
            <w:r w:rsidRPr="007805EF">
              <w:rPr>
                <w:lang w:val="en-GB"/>
              </w:rPr>
              <w:t>Commission for the Environment, Climate Change and Energy (ENVE)</w:t>
            </w:r>
          </w:p>
        </w:tc>
      </w:tr>
      <w:tr w:rsidR="005A62E6" w:rsidRPr="002E2344" w14:paraId="7A049B8E" w14:textId="77777777" w:rsidTr="005A62E6">
        <w:tc>
          <w:tcPr>
            <w:tcW w:w="3848" w:type="dxa"/>
            <w:noWrap/>
          </w:tcPr>
          <w:p w14:paraId="5169800E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Rapporteur</w:t>
            </w:r>
          </w:p>
        </w:tc>
        <w:tc>
          <w:tcPr>
            <w:tcW w:w="5441" w:type="dxa"/>
            <w:noWrap/>
          </w:tcPr>
          <w:p w14:paraId="576287E7" w14:textId="05089FAD" w:rsidR="005A62E6" w:rsidRPr="007805EF" w:rsidRDefault="005A62E6" w:rsidP="005A62E6">
            <w:pPr>
              <w:rPr>
                <w:lang w:val="en-GB"/>
              </w:rPr>
            </w:pPr>
          </w:p>
        </w:tc>
      </w:tr>
      <w:tr w:rsidR="005A62E6" w:rsidRPr="002E2344" w14:paraId="5FFFEC60" w14:textId="77777777" w:rsidTr="005A62E6">
        <w:tc>
          <w:tcPr>
            <w:tcW w:w="3848" w:type="dxa"/>
            <w:noWrap/>
          </w:tcPr>
          <w:p w14:paraId="1DD09358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Analysis</w:t>
            </w:r>
          </w:p>
        </w:tc>
        <w:tc>
          <w:tcPr>
            <w:tcW w:w="5441" w:type="dxa"/>
            <w:noWrap/>
          </w:tcPr>
          <w:p w14:paraId="65B15B14" w14:textId="77777777" w:rsidR="005A62E6" w:rsidRPr="007805EF" w:rsidRDefault="005A62E6" w:rsidP="005A62E6">
            <w:pPr>
              <w:rPr>
                <w:lang w:val="en-GB"/>
              </w:rPr>
            </w:pPr>
          </w:p>
        </w:tc>
      </w:tr>
      <w:tr w:rsidR="005A62E6" w:rsidRPr="002E2344" w14:paraId="71C0B7D5" w14:textId="77777777" w:rsidTr="005A62E6">
        <w:tc>
          <w:tcPr>
            <w:tcW w:w="3848" w:type="dxa"/>
            <w:noWrap/>
          </w:tcPr>
          <w:p w14:paraId="781BFE1B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 xml:space="preserve">Discussed in commission </w:t>
            </w:r>
          </w:p>
        </w:tc>
        <w:tc>
          <w:tcPr>
            <w:tcW w:w="5441" w:type="dxa"/>
            <w:noWrap/>
          </w:tcPr>
          <w:p w14:paraId="64F04CD7" w14:textId="78FC6723" w:rsidR="005A62E6" w:rsidRPr="007805EF" w:rsidRDefault="005A62E6" w:rsidP="005A62E6">
            <w:pPr>
              <w:rPr>
                <w:lang w:val="en-GB"/>
              </w:rPr>
            </w:pPr>
            <w:r w:rsidRPr="007805EF">
              <w:rPr>
                <w:lang w:val="en-GB"/>
              </w:rPr>
              <w:t>Scheduled for</w:t>
            </w:r>
            <w:r w:rsidR="005A10F9" w:rsidRPr="007805EF">
              <w:rPr>
                <w:lang w:val="en-GB"/>
              </w:rPr>
              <w:t xml:space="preserve"> 10 May</w:t>
            </w:r>
            <w:r w:rsidR="00F23F73" w:rsidRPr="007805EF">
              <w:rPr>
                <w:lang w:val="en-GB"/>
              </w:rPr>
              <w:t xml:space="preserve"> 2023</w:t>
            </w:r>
          </w:p>
        </w:tc>
      </w:tr>
      <w:tr w:rsidR="005A62E6" w:rsidRPr="002E2344" w14:paraId="00AACBD6" w14:textId="77777777" w:rsidTr="005A62E6">
        <w:tc>
          <w:tcPr>
            <w:tcW w:w="3848" w:type="dxa"/>
            <w:noWrap/>
          </w:tcPr>
          <w:p w14:paraId="09595D85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 xml:space="preserve">Date adopted by commission </w:t>
            </w:r>
          </w:p>
        </w:tc>
        <w:tc>
          <w:tcPr>
            <w:tcW w:w="5441" w:type="dxa"/>
            <w:noWrap/>
          </w:tcPr>
          <w:p w14:paraId="44656399" w14:textId="46EE72D5" w:rsidR="005A62E6" w:rsidRPr="007805EF" w:rsidRDefault="005A62E6" w:rsidP="005A62E6">
            <w:pPr>
              <w:rPr>
                <w:lang w:val="en-GB"/>
              </w:rPr>
            </w:pPr>
            <w:r w:rsidRPr="007805EF">
              <w:rPr>
                <w:lang w:val="en-GB"/>
              </w:rPr>
              <w:t xml:space="preserve">Scheduled for </w:t>
            </w:r>
            <w:r w:rsidR="005A10F9" w:rsidRPr="007805EF">
              <w:rPr>
                <w:lang w:val="en-GB"/>
              </w:rPr>
              <w:t>29 June</w:t>
            </w:r>
            <w:r w:rsidR="00F23F73" w:rsidRPr="007805EF">
              <w:rPr>
                <w:lang w:val="en-GB"/>
              </w:rPr>
              <w:t xml:space="preserve"> 2023</w:t>
            </w:r>
          </w:p>
        </w:tc>
      </w:tr>
      <w:tr w:rsidR="005A62E6" w:rsidRPr="002E2344" w14:paraId="26070C12" w14:textId="77777777" w:rsidTr="005A62E6">
        <w:tc>
          <w:tcPr>
            <w:tcW w:w="3848" w:type="dxa"/>
            <w:noWrap/>
          </w:tcPr>
          <w:p w14:paraId="335A8FC2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Result of the vote in commission</w:t>
            </w:r>
          </w:p>
          <w:p w14:paraId="3449D61A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(majority, unanimity)</w:t>
            </w:r>
          </w:p>
        </w:tc>
        <w:tc>
          <w:tcPr>
            <w:tcW w:w="5441" w:type="dxa"/>
            <w:noWrap/>
          </w:tcPr>
          <w:p w14:paraId="0FA77382" w14:textId="77777777" w:rsidR="005A62E6" w:rsidRPr="007805EF" w:rsidRDefault="005A62E6" w:rsidP="005A62E6">
            <w:pPr>
              <w:rPr>
                <w:lang w:val="en-GB"/>
              </w:rPr>
            </w:pPr>
          </w:p>
        </w:tc>
      </w:tr>
      <w:tr w:rsidR="005A62E6" w:rsidRPr="002E2344" w14:paraId="101C2CAF" w14:textId="77777777" w:rsidTr="005A62E6">
        <w:tc>
          <w:tcPr>
            <w:tcW w:w="3848" w:type="dxa"/>
            <w:noWrap/>
          </w:tcPr>
          <w:p w14:paraId="7766D575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 xml:space="preserve">Date adopted in plenary </w:t>
            </w:r>
          </w:p>
        </w:tc>
        <w:tc>
          <w:tcPr>
            <w:tcW w:w="5441" w:type="dxa"/>
            <w:noWrap/>
          </w:tcPr>
          <w:p w14:paraId="3F17D391" w14:textId="4AC01958" w:rsidR="005A62E6" w:rsidRPr="007805EF" w:rsidRDefault="005A62E6" w:rsidP="005A62E6">
            <w:pPr>
              <w:rPr>
                <w:b/>
                <w:bCs/>
                <w:lang w:val="en-GB"/>
              </w:rPr>
            </w:pPr>
            <w:r w:rsidRPr="007805EF">
              <w:rPr>
                <w:lang w:val="en-GB"/>
              </w:rPr>
              <w:t xml:space="preserve">Scheduled for </w:t>
            </w:r>
            <w:r w:rsidR="005A10F9" w:rsidRPr="007805EF">
              <w:rPr>
                <w:lang w:val="en-GB"/>
              </w:rPr>
              <w:t>9-11 October</w:t>
            </w:r>
            <w:r w:rsidR="00F23F73" w:rsidRPr="007805EF">
              <w:rPr>
                <w:lang w:val="en-GB"/>
              </w:rPr>
              <w:t xml:space="preserve"> 2023</w:t>
            </w:r>
          </w:p>
        </w:tc>
      </w:tr>
      <w:tr w:rsidR="005A62E6" w:rsidRPr="002E2344" w14:paraId="65FF7D07" w14:textId="77777777" w:rsidTr="005A62E6">
        <w:tc>
          <w:tcPr>
            <w:tcW w:w="3848" w:type="dxa"/>
            <w:noWrap/>
          </w:tcPr>
          <w:p w14:paraId="23EAE23C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 xml:space="preserve">Previous Committee opinions </w:t>
            </w:r>
          </w:p>
        </w:tc>
        <w:tc>
          <w:tcPr>
            <w:tcW w:w="5441" w:type="dxa"/>
            <w:noWrap/>
          </w:tcPr>
          <w:p w14:paraId="04F5D52B" w14:textId="77777777" w:rsidR="005A62E6" w:rsidRPr="007805EF" w:rsidRDefault="005A62E6" w:rsidP="005A62E6">
            <w:pPr>
              <w:rPr>
                <w:lang w:val="en-GB"/>
              </w:rPr>
            </w:pPr>
          </w:p>
        </w:tc>
      </w:tr>
      <w:tr w:rsidR="005A62E6" w:rsidRPr="002E2344" w14:paraId="1877798E" w14:textId="77777777" w:rsidTr="005A62E6">
        <w:tc>
          <w:tcPr>
            <w:tcW w:w="3848" w:type="dxa"/>
            <w:noWrap/>
          </w:tcPr>
          <w:p w14:paraId="156C6E68" w14:textId="77777777" w:rsidR="005A62E6" w:rsidRPr="007805EF" w:rsidRDefault="005A62E6" w:rsidP="005A62E6">
            <w:pPr>
              <w:jc w:val="left"/>
              <w:rPr>
                <w:b/>
                <w:bCs/>
                <w:lang w:val="en-GB"/>
              </w:rPr>
            </w:pPr>
            <w:r w:rsidRPr="007805EF">
              <w:rPr>
                <w:b/>
                <w:bCs/>
                <w:lang w:val="en-GB"/>
              </w:rPr>
              <w:t>Date of subsidiarity monitoring consultation</w:t>
            </w:r>
          </w:p>
        </w:tc>
        <w:tc>
          <w:tcPr>
            <w:tcW w:w="5441" w:type="dxa"/>
            <w:noWrap/>
          </w:tcPr>
          <w:p w14:paraId="7BD43EBB" w14:textId="77777777" w:rsidR="005A62E6" w:rsidRPr="007805EF" w:rsidRDefault="005A62E6" w:rsidP="005A62E6">
            <w:pPr>
              <w:rPr>
                <w:lang w:val="en-GB"/>
              </w:rPr>
            </w:pPr>
          </w:p>
        </w:tc>
      </w:tr>
    </w:tbl>
    <w:p w14:paraId="3A7F0C89" w14:textId="77777777" w:rsidR="005A62E6" w:rsidRPr="007805EF" w:rsidRDefault="005A62E6" w:rsidP="005A62E6">
      <w:pPr>
        <w:rPr>
          <w:lang w:val="en-GB"/>
        </w:rPr>
      </w:pPr>
    </w:p>
    <w:p w14:paraId="3710B657" w14:textId="77777777" w:rsidR="005A62E6" w:rsidRPr="007805EF" w:rsidRDefault="005A62E6" w:rsidP="005A62E6">
      <w:pPr>
        <w:jc w:val="center"/>
        <w:rPr>
          <w:lang w:val="en-GB"/>
        </w:rPr>
      </w:pPr>
      <w:r w:rsidRPr="007805EF">
        <w:rPr>
          <w:lang w:val="en-GB"/>
        </w:rPr>
        <w:t>_____________</w:t>
      </w:r>
    </w:p>
    <w:p w14:paraId="173007E4" w14:textId="77777777" w:rsidR="005A62E6" w:rsidRPr="007805EF" w:rsidRDefault="005A62E6" w:rsidP="005A62E6">
      <w:pPr>
        <w:rPr>
          <w:lang w:val="en-GB"/>
        </w:rPr>
      </w:pPr>
    </w:p>
    <w:p w14:paraId="542BE65D" w14:textId="77777777" w:rsidR="004E7086" w:rsidRPr="007805EF" w:rsidRDefault="004E7086" w:rsidP="004E7086">
      <w:pPr>
        <w:rPr>
          <w:lang w:val="en-GB"/>
        </w:rPr>
      </w:pPr>
    </w:p>
    <w:p w14:paraId="534F19F3" w14:textId="77777777" w:rsidR="00F62C54" w:rsidRPr="007805EF" w:rsidRDefault="00F62C54">
      <w:pPr>
        <w:rPr>
          <w:lang w:val="en-GB"/>
        </w:rPr>
      </w:pPr>
    </w:p>
    <w:sectPr w:rsidR="00F62C54" w:rsidRPr="007805EF" w:rsidSect="00BE498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32EE" w14:textId="77777777" w:rsidR="00520AAD" w:rsidRDefault="00520AAD" w:rsidP="00DA038A">
      <w:pPr>
        <w:spacing w:line="240" w:lineRule="auto"/>
      </w:pPr>
      <w:r>
        <w:separator/>
      </w:r>
    </w:p>
  </w:endnote>
  <w:endnote w:type="continuationSeparator" w:id="0">
    <w:p w14:paraId="6D634F50" w14:textId="77777777" w:rsidR="00520AAD" w:rsidRDefault="00520AAD" w:rsidP="00DA0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ED4B" w14:textId="77777777" w:rsidR="00BE4985" w:rsidRDefault="00BE4985" w:rsidP="00BE49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DCF4" w14:textId="03CB1F53" w:rsidR="0092075E" w:rsidRDefault="00BE4985" w:rsidP="00BE4985">
    <w:pPr>
      <w:pStyle w:val="Pieddepage"/>
    </w:pPr>
    <w:r>
      <w:t>COR-2023-00904-00-00-DT-TRA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31ED" w14:textId="77777777" w:rsidR="00BE4985" w:rsidRDefault="00BE4985" w:rsidP="00BE49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2AFC" w14:textId="77777777" w:rsidR="00520AAD" w:rsidRDefault="00520AAD" w:rsidP="00DA038A">
      <w:pPr>
        <w:spacing w:line="240" w:lineRule="auto"/>
      </w:pPr>
      <w:r>
        <w:separator/>
      </w:r>
    </w:p>
  </w:footnote>
  <w:footnote w:type="continuationSeparator" w:id="0">
    <w:p w14:paraId="65D6FD84" w14:textId="77777777" w:rsidR="00520AAD" w:rsidRDefault="00520AAD" w:rsidP="00DA038A">
      <w:pPr>
        <w:spacing w:line="240" w:lineRule="auto"/>
      </w:pPr>
      <w:r>
        <w:continuationSeparator/>
      </w:r>
    </w:p>
  </w:footnote>
  <w:footnote w:id="1">
    <w:p w14:paraId="380C6496" w14:textId="04D10DC2" w:rsidR="00FE3D6A" w:rsidRPr="00C34BF8" w:rsidRDefault="00FE3D6A" w:rsidP="00FE3D6A">
      <w:pPr>
        <w:pStyle w:val="Notedebasdepage"/>
        <w:ind w:left="142" w:hanging="142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FE6490">
        <w:t xml:space="preserve">The </w:t>
      </w:r>
      <w:r>
        <w:t>g</w:t>
      </w:r>
      <w:r w:rsidRPr="00FE6490">
        <w:t>lobal stocktake enables countries and other stakeholders to see where they</w:t>
      </w:r>
      <w:r>
        <w:t xml:space="preserve"> a</w:t>
      </w:r>
      <w:r w:rsidRPr="00FE6490">
        <w:t>re collectively making progress toward meeting the goals of the Paris Agreement and where they</w:t>
      </w:r>
      <w:r>
        <w:t xml:space="preserve"> ar</w:t>
      </w:r>
      <w:r w:rsidRPr="00FE6490">
        <w:t>e not. It means looking at everything related to where the world stands on climate action and support, identifying the gaps, and working together to agree on solution pathways (</w:t>
      </w:r>
      <w:r w:rsidR="00734764">
        <w:t xml:space="preserve">up </w:t>
      </w:r>
      <w:r w:rsidRPr="00FE6490">
        <w:t>to 2030 and beyond).</w:t>
      </w:r>
    </w:p>
  </w:footnote>
  <w:footnote w:id="2">
    <w:p w14:paraId="31A88286" w14:textId="77777777" w:rsidR="00EF1FAE" w:rsidRPr="00817AB5" w:rsidRDefault="00EF1FAE" w:rsidP="00EF1FAE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hyperlink r:id="rId1" w:tgtFrame="_blank" w:history="1">
        <w:r>
          <w:rPr>
            <w:rStyle w:val="Lienhypertexte"/>
          </w:rPr>
          <w:t>Paris Agreement Art.6.8 (Non-Market Approaches to Climate Finance)</w:t>
        </w:r>
      </w:hyperlink>
    </w:p>
  </w:footnote>
  <w:footnote w:id="3">
    <w:p w14:paraId="732B10CD" w14:textId="6C823CFD" w:rsidR="00B40C30" w:rsidRPr="00B40C30" w:rsidRDefault="00B40C30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hyperlink r:id="rId2" w:history="1">
        <w:r w:rsidRPr="00B40C30">
          <w:rPr>
            <w:rStyle w:val="Lienhypertexte"/>
          </w:rPr>
          <w:t>Overview of natural and man-made disaster risks the European Union may face: 2020 edition</w:t>
        </w:r>
      </w:hyperlink>
    </w:p>
  </w:footnote>
  <w:footnote w:id="4">
    <w:p w14:paraId="21C5666E" w14:textId="24CA5FED" w:rsidR="000A4C35" w:rsidRPr="001A0990" w:rsidRDefault="000A4C35" w:rsidP="001A0990">
      <w:pPr>
        <w:pStyle w:val="Notedebasdepage"/>
        <w:ind w:left="142" w:hanging="142"/>
      </w:pPr>
      <w:r>
        <w:rPr>
          <w:rStyle w:val="Appelnotedebasdep"/>
        </w:rPr>
        <w:footnoteRef/>
      </w:r>
      <w:r>
        <w:t xml:space="preserve"> Launched by the COP27 Presidency Agenda in partnership with the High-Level Champions and the Marrakech Partnership, the Sharm-El-Sheikh Adaptation Agenda outlines 30 adaptation outcomes to enhance resilience for 4 billion people living in the most climate vulnerable communities by 2030.</w:t>
      </w:r>
    </w:p>
  </w:footnote>
  <w:footnote w:id="5">
    <w:p w14:paraId="12525EAE" w14:textId="321AC703" w:rsidR="00EF1FAE" w:rsidRPr="00774BDF" w:rsidRDefault="00EF1FAE" w:rsidP="00FF2F93">
      <w:pPr>
        <w:pStyle w:val="Notedebasdepage"/>
        <w:ind w:left="142" w:hanging="142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="00EC086E">
        <w:t xml:space="preserve">The </w:t>
      </w:r>
      <w:r>
        <w:t xml:space="preserve">Cities and Regions Talanoa dialogues were </w:t>
      </w:r>
      <w:r w:rsidRPr="00774BDF">
        <w:rPr>
          <w:lang w:val="en-GB"/>
        </w:rPr>
        <w:t>designed</w:t>
      </w:r>
      <w:r>
        <w:rPr>
          <w:lang w:val="en-GB"/>
        </w:rPr>
        <w:t xml:space="preserve"> in 2018</w:t>
      </w:r>
      <w:r w:rsidRPr="00774BDF">
        <w:rPr>
          <w:lang w:val="en-GB"/>
        </w:rPr>
        <w:t xml:space="preserve"> to convene local and regional governments and </w:t>
      </w:r>
      <w:r>
        <w:rPr>
          <w:lang w:val="en-GB"/>
        </w:rPr>
        <w:t xml:space="preserve">national ministries of </w:t>
      </w:r>
      <w:r w:rsidRPr="00FF2F93">
        <w:t>climate</w:t>
      </w:r>
      <w:r>
        <w:rPr>
          <w:lang w:val="en-GB"/>
        </w:rPr>
        <w:t xml:space="preserve">, </w:t>
      </w:r>
      <w:r w:rsidRPr="00774BDF">
        <w:rPr>
          <w:lang w:val="en-GB"/>
        </w:rPr>
        <w:t>environment, and urbanization, along with host organizations and climate stakeholders to take stock of, shape and strengthen NDCs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D90F" w14:textId="77777777" w:rsidR="00BE4985" w:rsidRDefault="00BE4985" w:rsidP="00BE49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8B0C" w14:textId="77777777" w:rsidR="00BE4985" w:rsidRDefault="00BE4985" w:rsidP="00BE498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FFB3" w14:textId="77777777" w:rsidR="00BE4985" w:rsidRDefault="00BE4985" w:rsidP="00BE49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Titre1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pStyle w:val="Titre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Titre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Titre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Titre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63B352D"/>
    <w:multiLevelType w:val="hybridMultilevel"/>
    <w:tmpl w:val="A0BAAF7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A75"/>
    <w:multiLevelType w:val="hybridMultilevel"/>
    <w:tmpl w:val="B10CB9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23950"/>
    <w:multiLevelType w:val="hybridMultilevel"/>
    <w:tmpl w:val="06BC991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ACF"/>
    <w:multiLevelType w:val="hybridMultilevel"/>
    <w:tmpl w:val="3CE8EBBE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DB25CA"/>
    <w:multiLevelType w:val="hybridMultilevel"/>
    <w:tmpl w:val="DC649FB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4D5E"/>
    <w:multiLevelType w:val="hybridMultilevel"/>
    <w:tmpl w:val="9D6A6DA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6DDA"/>
    <w:multiLevelType w:val="hybridMultilevel"/>
    <w:tmpl w:val="545E2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4DA6"/>
    <w:multiLevelType w:val="hybridMultilevel"/>
    <w:tmpl w:val="B32E8FD6"/>
    <w:lvl w:ilvl="0" w:tplc="02F00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659F8"/>
    <w:multiLevelType w:val="hybridMultilevel"/>
    <w:tmpl w:val="03927834"/>
    <w:lvl w:ilvl="0" w:tplc="F3C8F32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A0CD8"/>
    <w:multiLevelType w:val="hybridMultilevel"/>
    <w:tmpl w:val="E9EC93F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616EB"/>
    <w:multiLevelType w:val="hybridMultilevel"/>
    <w:tmpl w:val="B0869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21EB"/>
    <w:multiLevelType w:val="hybridMultilevel"/>
    <w:tmpl w:val="B3D224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23743"/>
    <w:multiLevelType w:val="hybridMultilevel"/>
    <w:tmpl w:val="90D0DF8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62241"/>
    <w:multiLevelType w:val="hybridMultilevel"/>
    <w:tmpl w:val="AFC6D9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07212"/>
    <w:multiLevelType w:val="hybridMultilevel"/>
    <w:tmpl w:val="EA4638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17894"/>
    <w:multiLevelType w:val="hybridMultilevel"/>
    <w:tmpl w:val="0BE6B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6907"/>
    <w:multiLevelType w:val="hybridMultilevel"/>
    <w:tmpl w:val="F0B4DDE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162A3"/>
    <w:multiLevelType w:val="hybridMultilevel"/>
    <w:tmpl w:val="D0DAEE72"/>
    <w:lvl w:ilvl="0" w:tplc="9CECB97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B5338"/>
    <w:multiLevelType w:val="hybridMultilevel"/>
    <w:tmpl w:val="B704B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C5746"/>
    <w:multiLevelType w:val="hybridMultilevel"/>
    <w:tmpl w:val="B6E4F860"/>
    <w:lvl w:ilvl="0" w:tplc="83447096">
      <w:start w:val="1"/>
      <w:numFmt w:val="upperRoman"/>
      <w:lvlText w:val="%1."/>
      <w:lvlJc w:val="left"/>
      <w:pPr>
        <w:ind w:left="36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0757D"/>
    <w:multiLevelType w:val="hybridMultilevel"/>
    <w:tmpl w:val="B5A298FC"/>
    <w:lvl w:ilvl="0" w:tplc="8C4EF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79285">
    <w:abstractNumId w:val="19"/>
  </w:num>
  <w:num w:numId="2" w16cid:durableId="1437096634">
    <w:abstractNumId w:val="0"/>
  </w:num>
  <w:num w:numId="3" w16cid:durableId="1209798695">
    <w:abstractNumId w:val="20"/>
  </w:num>
  <w:num w:numId="4" w16cid:durableId="1974018527">
    <w:abstractNumId w:val="11"/>
  </w:num>
  <w:num w:numId="5" w16cid:durableId="1433475528">
    <w:abstractNumId w:val="18"/>
  </w:num>
  <w:num w:numId="6" w16cid:durableId="1879123415">
    <w:abstractNumId w:val="17"/>
  </w:num>
  <w:num w:numId="7" w16cid:durableId="1756975678">
    <w:abstractNumId w:val="12"/>
  </w:num>
  <w:num w:numId="8" w16cid:durableId="757479114">
    <w:abstractNumId w:val="9"/>
  </w:num>
  <w:num w:numId="9" w16cid:durableId="430512030">
    <w:abstractNumId w:val="2"/>
  </w:num>
  <w:num w:numId="10" w16cid:durableId="1522744984">
    <w:abstractNumId w:val="16"/>
  </w:num>
  <w:num w:numId="11" w16cid:durableId="762533152">
    <w:abstractNumId w:val="5"/>
  </w:num>
  <w:num w:numId="12" w16cid:durableId="1269510051">
    <w:abstractNumId w:val="14"/>
  </w:num>
  <w:num w:numId="13" w16cid:durableId="1944266593">
    <w:abstractNumId w:val="10"/>
  </w:num>
  <w:num w:numId="14" w16cid:durableId="196427951">
    <w:abstractNumId w:val="13"/>
  </w:num>
  <w:num w:numId="15" w16cid:durableId="80031496">
    <w:abstractNumId w:val="1"/>
  </w:num>
  <w:num w:numId="16" w16cid:durableId="244610892">
    <w:abstractNumId w:val="3"/>
  </w:num>
  <w:num w:numId="17" w16cid:durableId="858737473">
    <w:abstractNumId w:val="6"/>
  </w:num>
  <w:num w:numId="18" w16cid:durableId="2006738061">
    <w:abstractNumId w:val="7"/>
  </w:num>
  <w:num w:numId="19" w16cid:durableId="2087335065">
    <w:abstractNumId w:val="15"/>
  </w:num>
  <w:num w:numId="20" w16cid:durableId="685130234">
    <w:abstractNumId w:val="4"/>
  </w:num>
  <w:num w:numId="21" w16cid:durableId="1494375308">
    <w:abstractNumId w:val="8"/>
  </w:num>
  <w:num w:numId="22" w16cid:durableId="1531604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8A"/>
    <w:rsid w:val="0001464D"/>
    <w:rsid w:val="0003519C"/>
    <w:rsid w:val="000423BB"/>
    <w:rsid w:val="00063125"/>
    <w:rsid w:val="000A4C35"/>
    <w:rsid w:val="000C14CD"/>
    <w:rsid w:val="000D4A0F"/>
    <w:rsid w:val="000F1FFD"/>
    <w:rsid w:val="000F21FC"/>
    <w:rsid w:val="000F3831"/>
    <w:rsid w:val="001026AA"/>
    <w:rsid w:val="00112236"/>
    <w:rsid w:val="00112A6A"/>
    <w:rsid w:val="00152AA4"/>
    <w:rsid w:val="00154EAE"/>
    <w:rsid w:val="0015798C"/>
    <w:rsid w:val="001661D1"/>
    <w:rsid w:val="00184339"/>
    <w:rsid w:val="001970A6"/>
    <w:rsid w:val="001A0990"/>
    <w:rsid w:val="001D5F12"/>
    <w:rsid w:val="001E338C"/>
    <w:rsid w:val="001F0B29"/>
    <w:rsid w:val="001F4CB1"/>
    <w:rsid w:val="001F7E3E"/>
    <w:rsid w:val="002202B6"/>
    <w:rsid w:val="00235648"/>
    <w:rsid w:val="0024036B"/>
    <w:rsid w:val="00241240"/>
    <w:rsid w:val="0024578D"/>
    <w:rsid w:val="00265AA7"/>
    <w:rsid w:val="002669C4"/>
    <w:rsid w:val="002804C8"/>
    <w:rsid w:val="0028074F"/>
    <w:rsid w:val="00297FC8"/>
    <w:rsid w:val="002A5CC3"/>
    <w:rsid w:val="002A5EEA"/>
    <w:rsid w:val="002D30B9"/>
    <w:rsid w:val="002D5512"/>
    <w:rsid w:val="002D7F97"/>
    <w:rsid w:val="002E2344"/>
    <w:rsid w:val="0030521C"/>
    <w:rsid w:val="003146BA"/>
    <w:rsid w:val="003203CD"/>
    <w:rsid w:val="0032532C"/>
    <w:rsid w:val="0033646B"/>
    <w:rsid w:val="00342F82"/>
    <w:rsid w:val="00357E18"/>
    <w:rsid w:val="003605A6"/>
    <w:rsid w:val="003909F5"/>
    <w:rsid w:val="0039248E"/>
    <w:rsid w:val="003B0D33"/>
    <w:rsid w:val="003B7E05"/>
    <w:rsid w:val="003C1563"/>
    <w:rsid w:val="003D3AA2"/>
    <w:rsid w:val="003E32A1"/>
    <w:rsid w:val="00410F62"/>
    <w:rsid w:val="00420166"/>
    <w:rsid w:val="00423A01"/>
    <w:rsid w:val="00426DB6"/>
    <w:rsid w:val="004429C6"/>
    <w:rsid w:val="0045443A"/>
    <w:rsid w:val="00483586"/>
    <w:rsid w:val="00492030"/>
    <w:rsid w:val="004A329A"/>
    <w:rsid w:val="004B4A81"/>
    <w:rsid w:val="004B778F"/>
    <w:rsid w:val="004B79C5"/>
    <w:rsid w:val="004C2E36"/>
    <w:rsid w:val="004E5B3A"/>
    <w:rsid w:val="004E7086"/>
    <w:rsid w:val="004F7C01"/>
    <w:rsid w:val="005005F3"/>
    <w:rsid w:val="0050522C"/>
    <w:rsid w:val="005070ED"/>
    <w:rsid w:val="00512EEC"/>
    <w:rsid w:val="00520AAD"/>
    <w:rsid w:val="0053291B"/>
    <w:rsid w:val="00533E53"/>
    <w:rsid w:val="00534B4F"/>
    <w:rsid w:val="005402CA"/>
    <w:rsid w:val="00553EBD"/>
    <w:rsid w:val="00565C7B"/>
    <w:rsid w:val="00577C04"/>
    <w:rsid w:val="00581FFC"/>
    <w:rsid w:val="005937CD"/>
    <w:rsid w:val="005A10F9"/>
    <w:rsid w:val="005A62E6"/>
    <w:rsid w:val="005B1739"/>
    <w:rsid w:val="005D0756"/>
    <w:rsid w:val="005F1494"/>
    <w:rsid w:val="005F57A0"/>
    <w:rsid w:val="006245B7"/>
    <w:rsid w:val="006266E3"/>
    <w:rsid w:val="006473D4"/>
    <w:rsid w:val="0066331A"/>
    <w:rsid w:val="006706B2"/>
    <w:rsid w:val="00677526"/>
    <w:rsid w:val="006A0EC0"/>
    <w:rsid w:val="006A4AFE"/>
    <w:rsid w:val="006B7A4E"/>
    <w:rsid w:val="006E230F"/>
    <w:rsid w:val="006F3683"/>
    <w:rsid w:val="006F6E3C"/>
    <w:rsid w:val="00716798"/>
    <w:rsid w:val="0071792D"/>
    <w:rsid w:val="00726696"/>
    <w:rsid w:val="00734764"/>
    <w:rsid w:val="0073734A"/>
    <w:rsid w:val="007456D1"/>
    <w:rsid w:val="0074723D"/>
    <w:rsid w:val="00762B22"/>
    <w:rsid w:val="00764F59"/>
    <w:rsid w:val="00766635"/>
    <w:rsid w:val="0077041E"/>
    <w:rsid w:val="007710A8"/>
    <w:rsid w:val="00774408"/>
    <w:rsid w:val="00774A14"/>
    <w:rsid w:val="00774E9C"/>
    <w:rsid w:val="0077619F"/>
    <w:rsid w:val="007805EF"/>
    <w:rsid w:val="00786C96"/>
    <w:rsid w:val="007A536C"/>
    <w:rsid w:val="007B3F8C"/>
    <w:rsid w:val="007C05F5"/>
    <w:rsid w:val="007C1A2C"/>
    <w:rsid w:val="007C42C7"/>
    <w:rsid w:val="007D7CB6"/>
    <w:rsid w:val="007E5688"/>
    <w:rsid w:val="007F0BF7"/>
    <w:rsid w:val="0081374A"/>
    <w:rsid w:val="00814D42"/>
    <w:rsid w:val="00816567"/>
    <w:rsid w:val="00831AE8"/>
    <w:rsid w:val="00833082"/>
    <w:rsid w:val="00835EE7"/>
    <w:rsid w:val="0088273D"/>
    <w:rsid w:val="008841CD"/>
    <w:rsid w:val="00885B12"/>
    <w:rsid w:val="00897E03"/>
    <w:rsid w:val="008A0252"/>
    <w:rsid w:val="008B3BAE"/>
    <w:rsid w:val="008D13C1"/>
    <w:rsid w:val="008E731C"/>
    <w:rsid w:val="00916DFD"/>
    <w:rsid w:val="0092075E"/>
    <w:rsid w:val="00932D6F"/>
    <w:rsid w:val="009523F5"/>
    <w:rsid w:val="00952444"/>
    <w:rsid w:val="00966738"/>
    <w:rsid w:val="00973D99"/>
    <w:rsid w:val="00982DEC"/>
    <w:rsid w:val="00984591"/>
    <w:rsid w:val="00987D90"/>
    <w:rsid w:val="00993418"/>
    <w:rsid w:val="00995FED"/>
    <w:rsid w:val="009B1A68"/>
    <w:rsid w:val="009B5109"/>
    <w:rsid w:val="009C2378"/>
    <w:rsid w:val="009E2054"/>
    <w:rsid w:val="00A05355"/>
    <w:rsid w:val="00A16EB6"/>
    <w:rsid w:val="00A32319"/>
    <w:rsid w:val="00A43A41"/>
    <w:rsid w:val="00A4506B"/>
    <w:rsid w:val="00A46753"/>
    <w:rsid w:val="00A57808"/>
    <w:rsid w:val="00A6346B"/>
    <w:rsid w:val="00A644B1"/>
    <w:rsid w:val="00A71F7F"/>
    <w:rsid w:val="00A840F4"/>
    <w:rsid w:val="00AD5FCF"/>
    <w:rsid w:val="00B04DB1"/>
    <w:rsid w:val="00B1013C"/>
    <w:rsid w:val="00B10BD4"/>
    <w:rsid w:val="00B40C30"/>
    <w:rsid w:val="00B50728"/>
    <w:rsid w:val="00B75E81"/>
    <w:rsid w:val="00BA3518"/>
    <w:rsid w:val="00BC563C"/>
    <w:rsid w:val="00BC603B"/>
    <w:rsid w:val="00BE11FB"/>
    <w:rsid w:val="00BE4985"/>
    <w:rsid w:val="00BF177A"/>
    <w:rsid w:val="00BF3E9F"/>
    <w:rsid w:val="00C21026"/>
    <w:rsid w:val="00C34BF8"/>
    <w:rsid w:val="00C50877"/>
    <w:rsid w:val="00C51F7F"/>
    <w:rsid w:val="00C55233"/>
    <w:rsid w:val="00C57EBB"/>
    <w:rsid w:val="00C72451"/>
    <w:rsid w:val="00C81047"/>
    <w:rsid w:val="00C86D7A"/>
    <w:rsid w:val="00C90F1B"/>
    <w:rsid w:val="00C95F3E"/>
    <w:rsid w:val="00C95FFC"/>
    <w:rsid w:val="00CA1E19"/>
    <w:rsid w:val="00CC3875"/>
    <w:rsid w:val="00CF620A"/>
    <w:rsid w:val="00D06E4B"/>
    <w:rsid w:val="00D27346"/>
    <w:rsid w:val="00D308DA"/>
    <w:rsid w:val="00D448A2"/>
    <w:rsid w:val="00D45C34"/>
    <w:rsid w:val="00D46553"/>
    <w:rsid w:val="00D47BF4"/>
    <w:rsid w:val="00D5316C"/>
    <w:rsid w:val="00D6411C"/>
    <w:rsid w:val="00D65A4D"/>
    <w:rsid w:val="00D807AE"/>
    <w:rsid w:val="00D82420"/>
    <w:rsid w:val="00D86E20"/>
    <w:rsid w:val="00DA038A"/>
    <w:rsid w:val="00DA0FB3"/>
    <w:rsid w:val="00DC03F5"/>
    <w:rsid w:val="00DD3290"/>
    <w:rsid w:val="00DF2122"/>
    <w:rsid w:val="00DF445E"/>
    <w:rsid w:val="00E05D11"/>
    <w:rsid w:val="00E17338"/>
    <w:rsid w:val="00E35070"/>
    <w:rsid w:val="00E435D7"/>
    <w:rsid w:val="00E862EA"/>
    <w:rsid w:val="00E913DD"/>
    <w:rsid w:val="00EC086E"/>
    <w:rsid w:val="00EE2B8C"/>
    <w:rsid w:val="00EF0DAF"/>
    <w:rsid w:val="00EF1FAE"/>
    <w:rsid w:val="00F00FBB"/>
    <w:rsid w:val="00F02BAA"/>
    <w:rsid w:val="00F02D9D"/>
    <w:rsid w:val="00F11700"/>
    <w:rsid w:val="00F23F73"/>
    <w:rsid w:val="00F255C5"/>
    <w:rsid w:val="00F500E6"/>
    <w:rsid w:val="00F62C54"/>
    <w:rsid w:val="00F6427C"/>
    <w:rsid w:val="00F65592"/>
    <w:rsid w:val="00F7190B"/>
    <w:rsid w:val="00F72F67"/>
    <w:rsid w:val="00F775FE"/>
    <w:rsid w:val="00F819E2"/>
    <w:rsid w:val="00FA5CF1"/>
    <w:rsid w:val="00FC023C"/>
    <w:rsid w:val="00FC0D45"/>
    <w:rsid w:val="00FC1813"/>
    <w:rsid w:val="00FC5856"/>
    <w:rsid w:val="00FE3D6A"/>
    <w:rsid w:val="00FE5074"/>
    <w:rsid w:val="00FE6490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AD2BF"/>
  <w14:defaultImageDpi w14:val="330"/>
  <w15:docId w15:val="{4B3CED55-359E-499C-9AEA-62A15568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8A"/>
    <w:pPr>
      <w:spacing w:line="288" w:lineRule="auto"/>
      <w:jc w:val="both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73D99"/>
    <w:pPr>
      <w:numPr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0"/>
    </w:pPr>
    <w:rPr>
      <w:kern w:val="28"/>
      <w:szCs w:val="20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973D99"/>
    <w:pPr>
      <w:numPr>
        <w:ilvl w:val="1"/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1"/>
    </w:pPr>
    <w:rPr>
      <w:szCs w:val="20"/>
      <w:lang w:val="en-GB"/>
    </w:rPr>
  </w:style>
  <w:style w:type="paragraph" w:styleId="Titre3">
    <w:name w:val="heading 3"/>
    <w:basedOn w:val="Normal"/>
    <w:next w:val="Normal"/>
    <w:link w:val="Titre3Car"/>
    <w:uiPriority w:val="9"/>
    <w:qFormat/>
    <w:rsid w:val="00973D99"/>
    <w:pPr>
      <w:numPr>
        <w:ilvl w:val="2"/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2"/>
    </w:pPr>
    <w:rPr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qFormat/>
    <w:rsid w:val="00973D99"/>
    <w:pPr>
      <w:numPr>
        <w:ilvl w:val="3"/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3"/>
    </w:pPr>
    <w:rPr>
      <w:szCs w:val="20"/>
      <w:lang w:val="en-GB"/>
    </w:rPr>
  </w:style>
  <w:style w:type="paragraph" w:styleId="Titre5">
    <w:name w:val="heading 5"/>
    <w:basedOn w:val="Normal"/>
    <w:next w:val="Normal"/>
    <w:link w:val="Titre5Car"/>
    <w:uiPriority w:val="9"/>
    <w:qFormat/>
    <w:rsid w:val="00973D99"/>
    <w:pPr>
      <w:numPr>
        <w:ilvl w:val="4"/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4"/>
    </w:pPr>
    <w:rPr>
      <w:szCs w:val="20"/>
      <w:lang w:val="en-GB"/>
    </w:rPr>
  </w:style>
  <w:style w:type="paragraph" w:styleId="Titre6">
    <w:name w:val="heading 6"/>
    <w:basedOn w:val="Normal"/>
    <w:next w:val="Normal"/>
    <w:link w:val="Titre6Car"/>
    <w:uiPriority w:val="9"/>
    <w:qFormat/>
    <w:rsid w:val="00973D99"/>
    <w:pPr>
      <w:numPr>
        <w:ilvl w:val="5"/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5"/>
    </w:pPr>
    <w:rPr>
      <w:szCs w:val="20"/>
      <w:lang w:val="en-GB"/>
    </w:rPr>
  </w:style>
  <w:style w:type="paragraph" w:styleId="Titre7">
    <w:name w:val="heading 7"/>
    <w:basedOn w:val="Normal"/>
    <w:next w:val="Normal"/>
    <w:link w:val="Titre7Car"/>
    <w:uiPriority w:val="9"/>
    <w:qFormat/>
    <w:rsid w:val="00973D99"/>
    <w:pPr>
      <w:numPr>
        <w:ilvl w:val="6"/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6"/>
    </w:pPr>
    <w:rPr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"/>
    <w:qFormat/>
    <w:rsid w:val="00973D99"/>
    <w:pPr>
      <w:numPr>
        <w:ilvl w:val="7"/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7"/>
    </w:pPr>
    <w:rPr>
      <w:szCs w:val="20"/>
      <w:lang w:val="en-GB"/>
    </w:rPr>
  </w:style>
  <w:style w:type="paragraph" w:styleId="Titre9">
    <w:name w:val="heading 9"/>
    <w:basedOn w:val="Normal"/>
    <w:next w:val="Normal"/>
    <w:link w:val="Titre9Car"/>
    <w:uiPriority w:val="9"/>
    <w:qFormat/>
    <w:rsid w:val="00973D99"/>
    <w:pPr>
      <w:numPr>
        <w:ilvl w:val="8"/>
        <w:numId w:val="2"/>
      </w:numPr>
      <w:overflowPunct w:val="0"/>
      <w:autoSpaceDE w:val="0"/>
      <w:autoSpaceDN w:val="0"/>
      <w:adjustRightInd w:val="0"/>
      <w:ind w:left="720" w:hanging="720"/>
      <w:textAlignment w:val="baseline"/>
      <w:outlineLvl w:val="8"/>
    </w:pPr>
    <w:rPr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qFormat/>
    <w:rsid w:val="00DA038A"/>
  </w:style>
  <w:style w:type="character" w:customStyle="1" w:styleId="PieddepageCar">
    <w:name w:val="Pied de page Car"/>
    <w:basedOn w:val="Policepardfaut"/>
    <w:link w:val="Pieddepage"/>
    <w:uiPriority w:val="99"/>
    <w:rsid w:val="00DA038A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qFormat/>
    <w:rsid w:val="00DA038A"/>
    <w:pPr>
      <w:keepLines/>
      <w:spacing w:after="60" w:line="240" w:lineRule="auto"/>
      <w:ind w:left="567" w:hanging="567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DA038A"/>
    <w:rPr>
      <w:rFonts w:ascii="Times New Roman" w:eastAsia="Times New Roman" w:hAnsi="Times New Roman" w:cs="Times New Roman"/>
      <w:sz w:val="16"/>
      <w:szCs w:val="22"/>
      <w:lang w:val="en-US" w:eastAsia="en-US"/>
    </w:rPr>
  </w:style>
  <w:style w:type="character" w:styleId="Appelnotedebasdep">
    <w:name w:val="footnote reference"/>
    <w:basedOn w:val="Policepardfaut"/>
    <w:unhideWhenUsed/>
    <w:qFormat/>
    <w:rsid w:val="00DA038A"/>
    <w:rPr>
      <w:sz w:val="24"/>
      <w:vertAlign w:val="superscript"/>
    </w:rPr>
  </w:style>
  <w:style w:type="paragraph" w:styleId="Paragraphedeliste">
    <w:name w:val="List Paragraph"/>
    <w:aliases w:val="OBC Bullet,Normal 1,Task Body,Viñetas (Inicio Parrafo),Paragrafo elenco,3 Txt tabla,Zerrenda-paragrafoa,Fiche List Paragraph,Dot pt,F5 List Paragraph,List Paragraph1,No Spacing1,List Paragraph Char Char Char,Indicator Text"/>
    <w:basedOn w:val="Normal"/>
    <w:link w:val="ParagraphedelisteCar"/>
    <w:uiPriority w:val="34"/>
    <w:qFormat/>
    <w:rsid w:val="00DA03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A038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38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38A"/>
    <w:rPr>
      <w:rFonts w:ascii="Lucida Grande" w:eastAsia="Times New Roman" w:hAnsi="Lucida Grande" w:cs="Lucida Grande"/>
      <w:sz w:val="18"/>
      <w:szCs w:val="18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DA038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C42C7"/>
  </w:style>
  <w:style w:type="character" w:customStyle="1" w:styleId="En-tteCar">
    <w:name w:val="En-tête Car"/>
    <w:basedOn w:val="Policepardfaut"/>
    <w:link w:val="En-tte"/>
    <w:uiPriority w:val="99"/>
    <w:rsid w:val="007C42C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973D99"/>
    <w:rPr>
      <w:rFonts w:ascii="Times New Roman" w:eastAsia="Times New Roman" w:hAnsi="Times New Roman" w:cs="Times New Roman"/>
      <w:kern w:val="28"/>
      <w:sz w:val="22"/>
      <w:szCs w:val="20"/>
      <w:lang w:val="en-GB" w:eastAsia="en-US"/>
    </w:rPr>
  </w:style>
  <w:style w:type="character" w:customStyle="1" w:styleId="Titre2Car">
    <w:name w:val="Titre 2 Car"/>
    <w:basedOn w:val="Policepardfaut"/>
    <w:link w:val="Titre2"/>
    <w:uiPriority w:val="9"/>
    <w:rsid w:val="00973D99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Titre3Car">
    <w:name w:val="Titre 3 Car"/>
    <w:basedOn w:val="Policepardfaut"/>
    <w:link w:val="Titre3"/>
    <w:uiPriority w:val="9"/>
    <w:rsid w:val="00973D99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Titre4Car">
    <w:name w:val="Titre 4 Car"/>
    <w:basedOn w:val="Policepardfaut"/>
    <w:link w:val="Titre4"/>
    <w:uiPriority w:val="9"/>
    <w:rsid w:val="00973D99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Titre5Car">
    <w:name w:val="Titre 5 Car"/>
    <w:basedOn w:val="Policepardfaut"/>
    <w:link w:val="Titre5"/>
    <w:uiPriority w:val="9"/>
    <w:rsid w:val="00973D99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Titre6Car">
    <w:name w:val="Titre 6 Car"/>
    <w:basedOn w:val="Policepardfaut"/>
    <w:link w:val="Titre6"/>
    <w:uiPriority w:val="9"/>
    <w:rsid w:val="00973D99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Titre7Car">
    <w:name w:val="Titre 7 Car"/>
    <w:basedOn w:val="Policepardfaut"/>
    <w:link w:val="Titre7"/>
    <w:uiPriority w:val="9"/>
    <w:rsid w:val="00973D99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Titre8Car">
    <w:name w:val="Titre 8 Car"/>
    <w:basedOn w:val="Policepardfaut"/>
    <w:link w:val="Titre8"/>
    <w:uiPriority w:val="9"/>
    <w:rsid w:val="00973D99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Titre9Car">
    <w:name w:val="Titre 9 Car"/>
    <w:basedOn w:val="Policepardfaut"/>
    <w:link w:val="Titre9"/>
    <w:uiPriority w:val="9"/>
    <w:rsid w:val="00973D99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Body">
    <w:name w:val="Body"/>
    <w:rsid w:val="004E708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u w:color="000000"/>
      <w:bdr w:val="nil"/>
      <w:lang w:val="en-GB" w:eastAsia="en-GB"/>
    </w:rPr>
  </w:style>
  <w:style w:type="paragraph" w:styleId="NormalWeb">
    <w:name w:val="Normal (Web)"/>
    <w:basedOn w:val="Normal"/>
    <w:uiPriority w:val="99"/>
    <w:unhideWhenUsed/>
    <w:rsid w:val="000F21FC"/>
    <w:pPr>
      <w:spacing w:before="100" w:beforeAutospacing="1" w:after="100" w:afterAutospacing="1" w:line="240" w:lineRule="auto"/>
      <w:jc w:val="left"/>
    </w:pPr>
    <w:rPr>
      <w:sz w:val="24"/>
      <w:szCs w:val="24"/>
      <w:lang w:val="es-ES" w:eastAsia="es-ES"/>
    </w:rPr>
  </w:style>
  <w:style w:type="table" w:styleId="Grilledutableau">
    <w:name w:val="Table Grid"/>
    <w:basedOn w:val="TableauNormal"/>
    <w:uiPriority w:val="39"/>
    <w:rsid w:val="000F21FC"/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OBC Bullet Car,Normal 1 Car,Task Body Car,Viñetas (Inicio Parrafo) Car,Paragrafo elenco Car,3 Txt tabla Car,Zerrenda-paragrafoa Car,Fiche List Paragraph Car,Dot pt Car,F5 List Paragraph Car,List Paragraph1 Car,No Spacing1 Car"/>
    <w:link w:val="Paragraphedeliste"/>
    <w:uiPriority w:val="34"/>
    <w:qFormat/>
    <w:locked/>
    <w:rsid w:val="00D86E20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323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23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231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23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2319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Rvision">
    <w:name w:val="Revision"/>
    <w:hidden/>
    <w:uiPriority w:val="99"/>
    <w:semiHidden/>
    <w:rsid w:val="00E862EA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markedcontent">
    <w:name w:val="markedcontent"/>
    <w:basedOn w:val="Policepardfaut"/>
    <w:rsid w:val="00EF1FAE"/>
  </w:style>
  <w:style w:type="character" w:customStyle="1" w:styleId="hgkelc">
    <w:name w:val="hgkelc"/>
    <w:basedOn w:val="Policepardfaut"/>
    <w:rsid w:val="00EF1FAE"/>
  </w:style>
  <w:style w:type="character" w:styleId="Mentionnonrsolue">
    <w:name w:val="Unresolved Mention"/>
    <w:basedOn w:val="Policepardfaut"/>
    <w:uiPriority w:val="99"/>
    <w:semiHidden/>
    <w:unhideWhenUsed/>
    <w:rsid w:val="004F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unfccc.int/sites/default/files/resource/cma2021_10_add1_adv.pdf" TargetMode="External"/><Relationship Id="rId26" Type="http://schemas.openxmlformats.org/officeDocument/2006/relationships/hyperlink" Target="https://research-and-innovation.ec.europa.eu/funding/funding-opportunities/funding-programmes-and-open-calls/horizon-europe/eu-missions-horizon-europe/adaptation-climate-change_e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unfccc.int/race-to-resilience-campaign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globalcovenantofmayors.org/wp-content/uploads/2022/11/2022-GCoM-Impact-Report.pdf" TargetMode="External"/><Relationship Id="rId25" Type="http://schemas.openxmlformats.org/officeDocument/2006/relationships/hyperlink" Target="https://climatechampions.unfccc.int/cop27-presidency-announces-ambitous-climate-resilience-agenda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upforclimate.com/consolidated-report/" TargetMode="External"/><Relationship Id="rId20" Type="http://schemas.openxmlformats.org/officeDocument/2006/relationships/hyperlink" Target="https://unfccc.int/climate-action/race-to-zero-campaign" TargetMode="External"/><Relationship Id="rId29" Type="http://schemas.openxmlformats.org/officeDocument/2006/relationships/hyperlink" Target="https://www.brusselstimes.com/321733/cop27-wallonia-to-double-funding-for-countries-impacted-by-loss-and-damag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esearch-and-innovation.ec.europa.eu/funding/funding-opportunities/funding-programmes-and-open-calls/horizon-europe/eu-missions-horizon-europe/climate-neutral-and-smart-cities_en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unfccc.int/topics/global-stocktake" TargetMode="External"/><Relationship Id="rId23" Type="http://schemas.openxmlformats.org/officeDocument/2006/relationships/hyperlink" Target="https://unfccc.int/climate-action/marrakech-partnership/reporting-and-tracking/climate_action_pathways" TargetMode="External"/><Relationship Id="rId28" Type="http://schemas.openxmlformats.org/officeDocument/2006/relationships/hyperlink" Target="https://www.gov.scot/news/funding-pledge-for-loss-and-damage/" TargetMode="External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unfccc.int/sites/default/files/resource/cop27_auv_2_cover%20decision.pdf" TargetMode="External"/><Relationship Id="rId31" Type="http://schemas.openxmlformats.org/officeDocument/2006/relationships/hyperlink" Target="https://unhabitat.org/cop27-presidency-sustainable-urban-resilience-for-the-next-generation-surg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pcc.ch/report/sixth-assessment-report-cycle/" TargetMode="External"/><Relationship Id="rId22" Type="http://schemas.openxmlformats.org/officeDocument/2006/relationships/hyperlink" Target="https://explore.mission-innovation.net/mission/urban-transitions/" TargetMode="External"/><Relationship Id="rId27" Type="http://schemas.openxmlformats.org/officeDocument/2006/relationships/hyperlink" Target="https://unfccc.int/sites/default/files/resource/GGA_decision.pdf" TargetMode="External"/><Relationship Id="rId30" Type="http://schemas.openxmlformats.org/officeDocument/2006/relationships/hyperlink" Target="https://www.gov.scot/binaries/content/documents/govscot/publications/research-and-analysis/2023/03/practical-action-addressing-loss-damage/documents/practical-action-addressing-loss-damage/practical-action-addressing-loss-damage/govscot%3Adocument/practical-action-addressing-loss-damage.pdf" TargetMode="External"/><Relationship Id="rId35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en/publication-detail/-/publication/89fcf0fc-edb9-11eb-a71c-01aa75ed71a1" TargetMode="External"/><Relationship Id="rId1" Type="http://schemas.openxmlformats.org/officeDocument/2006/relationships/hyperlink" Target="https://unfccc.int/sites/default/files/resource/cma3_auv_12c_PA_6.8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32CC2B672364893F35D5FA1591D21" ma:contentTypeVersion="4" ma:contentTypeDescription="Create a new document." ma:contentTypeScope="" ma:versionID="d79305b0d894352fc7d6d15add3b112b">
  <xsd:schema xmlns:xsd="http://www.w3.org/2001/XMLSchema" xmlns:xs="http://www.w3.org/2001/XMLSchema" xmlns:p="http://schemas.microsoft.com/office/2006/metadata/properties" xmlns:ns1="http://schemas.microsoft.com/sharepoint/v3" xmlns:ns2="61ca3f1a-19f4-461d-a43b-0b5ad97b08be" xmlns:ns3="0839c6ea-a1dc-4bb6-8edd-505e41658e6a" targetNamespace="http://schemas.microsoft.com/office/2006/metadata/properties" ma:root="true" ma:fieldsID="52e17b3145f61808e1d2968090d8bbc9" ns1:_="" ns2:_="" ns3:_="">
    <xsd:import namespace="http://schemas.microsoft.com/sharepoint/v3"/>
    <xsd:import namespace="61ca3f1a-19f4-461d-a43b-0b5ad97b08be"/>
    <xsd:import namespace="0839c6ea-a1dc-4bb6-8edd-505e41658e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9c6ea-a1dc-4bb6-8edd-505e41658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3TERTJPUQSXZ-1015733444-1234</_dlc_DocId>
    <_dlc_DocIdUrl xmlns="61ca3f1a-19f4-461d-a43b-0b5ad97b08be">
      <Url>http://dm2016/cor/2021/_layouts/15/DocIdRedir.aspx?ID=3TERTJPUQSXZ-1015733444-1234</Url>
      <Description>3TERTJPUQSXZ-1015733444-1234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1BFCDDC-7BF4-4813-ADCF-E45CDDADA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ca3f1a-19f4-461d-a43b-0b5ad97b08be"/>
    <ds:schemaRef ds:uri="0839c6ea-a1dc-4bb6-8edd-505e4165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BF0BE-70B4-4BB6-B005-1883079A9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E4840-CC7A-4479-B096-FC1B928337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42711-B651-4FCE-BDB9-5D8DF9BFF340}">
  <ds:schemaRefs>
    <ds:schemaRef ds:uri="http://schemas.microsoft.com/office/2006/metadata/properties"/>
    <ds:schemaRef ds:uri="http://schemas.microsoft.com/office/infopath/2007/PartnerControls"/>
    <ds:schemaRef ds:uri="2c9916e3-590a-47ee-8a4b-72c761a69c9e"/>
    <ds:schemaRef ds:uri="http://schemas.microsoft.com/sharepoint/v3/fields"/>
    <ds:schemaRef ds:uri="30d1edff-5f98-40ca-b5b7-93b08f89c8c5"/>
    <ds:schemaRef ds:uri="61ca3f1a-19f4-461d-a43b-0b5ad97b08b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29B3A96-BFF2-4E3C-A5F1-4F006C84CC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2241</Words>
  <Characters>12330</Characters>
  <Application>Microsoft Office Word</Application>
  <DocSecurity>0</DocSecurity>
  <Lines>102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...</vt:lpstr>
      <vt:lpstr>...</vt:lpstr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>DT</dc:subject>
  <dc:creator>ENVE</dc:creator>
  <cp:keywords>...</cp:keywords>
  <dc:description>Rapporteur: - NOHRÈN Original language: - EN Date of document: - 27/01/2021 Date of meeting: - 01/02/2021 External documents: -  Administrator responsible: -  RINALDI Roberto</dc:description>
  <cp:lastModifiedBy>Stagiaire 2</cp:lastModifiedBy>
  <cp:revision>2</cp:revision>
  <dcterms:created xsi:type="dcterms:W3CDTF">2023-05-09T07:53:00Z</dcterms:created>
  <dcterms:modified xsi:type="dcterms:W3CDTF">2023-05-09T07:53:00Z</dcterms:modified>
  <cp:category>ENVE-VII/15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27/01/2021, 19/01/2021, 19/01/2021</vt:lpwstr>
  </property>
  <property fmtid="{D5CDD505-2E9C-101B-9397-08002B2CF9AE}" pid="4" name="Pref_Time">
    <vt:lpwstr>13:38:54, 15:13:18, 15:01:52</vt:lpwstr>
  </property>
  <property fmtid="{D5CDD505-2E9C-101B-9397-08002B2CF9AE}" pid="5" name="Pref_User">
    <vt:lpwstr>amett, hnic, YMUR</vt:lpwstr>
  </property>
  <property fmtid="{D5CDD505-2E9C-101B-9397-08002B2CF9AE}" pid="6" name="Pref_FileName">
    <vt:lpwstr>COR-2021-00292-00-01-DT-ORI.docx, COR-2021-00292-00-00-DT-TRA-EN-CRR.docx, COR-2021-00292-00-00-DT-CRR-EN.docx</vt:lpwstr>
  </property>
  <property fmtid="{D5CDD505-2E9C-101B-9397-08002B2CF9AE}" pid="7" name="ContentTypeId">
    <vt:lpwstr>0x01010060932CC2B672364893F35D5FA1591D21</vt:lpwstr>
  </property>
  <property fmtid="{D5CDD505-2E9C-101B-9397-08002B2CF9AE}" pid="8" name="_dlc_DocIdItemGuid">
    <vt:lpwstr>0df28dd7-50c1-4db0-bf37-f99b493fc572</vt:lpwstr>
  </property>
  <property fmtid="{D5CDD505-2E9C-101B-9397-08002B2CF9AE}" pid="9" name="AvailableTranslations">
    <vt:lpwstr>32;#SL|98a412ae-eb01-49e9-ae3d-585a81724cfc;#21;#PT|50ccc04a-eadd-42ae-a0cb-acaf45f812ba;#24;#FR|d2afafd3-4c81-4f60-8f52-ee33f2f54ff3;#17;#LV|46f7e311-5d9f-4663-b433-18aeccb7ace7;#30;#ET|ff6c3f4c-b02c-4c3c-ab07-2c37995a7a0a;#28;#HU|6b229040-c589-4408-b4c1</vt:lpwstr>
  </property>
  <property fmtid="{D5CDD505-2E9C-101B-9397-08002B2CF9AE}" pid="10" name="DocumentType_0">
    <vt:lpwstr>DT|25c86c03-f029-4a57-bd6c-25106fad060c</vt:lpwstr>
  </property>
  <property fmtid="{D5CDD505-2E9C-101B-9397-08002B2CF9AE}" pid="11" name="MeetingNumber">
    <vt:i4>6</vt:i4>
  </property>
  <property fmtid="{D5CDD505-2E9C-101B-9397-08002B2CF9AE}" pid="12" name="DossierName_0">
    <vt:lpwstr>ENVE-VII|6ee8e51f-c3cc-464b-aceb-beb6545d7e0a</vt:lpwstr>
  </property>
  <property fmtid="{D5CDD505-2E9C-101B-9397-08002B2CF9AE}" pid="13" name="DocumentSource_0">
    <vt:lpwstr>CoR|cb2d75ef-4a7d-4393-b797-49ed6298a5ea</vt:lpwstr>
  </property>
  <property fmtid="{D5CDD505-2E9C-101B-9397-08002B2CF9AE}" pid="14" name="DocumentNumber">
    <vt:i4>292</vt:i4>
  </property>
  <property fmtid="{D5CDD505-2E9C-101B-9397-08002B2CF9AE}" pid="15" name="FicheYear">
    <vt:i4>2021</vt:i4>
  </property>
  <property fmtid="{D5CDD505-2E9C-101B-9397-08002B2CF9AE}" pid="16" name="DocumentVersion">
    <vt:i4>1</vt:i4>
  </property>
  <property fmtid="{D5CDD505-2E9C-101B-9397-08002B2CF9AE}" pid="17" name="DossierNumber">
    <vt:i4>15</vt:i4>
  </property>
  <property fmtid="{D5CDD505-2E9C-101B-9397-08002B2CF9AE}" pid="18" name="DocumentStatus">
    <vt:lpwstr>2;#TRA|150d2a88-1431-44e6-a8ca-0bb753ab8672</vt:lpwstr>
  </property>
  <property fmtid="{D5CDD505-2E9C-101B-9397-08002B2CF9AE}" pid="19" name="DocumentPart">
    <vt:i4>0</vt:i4>
  </property>
  <property fmtid="{D5CDD505-2E9C-101B-9397-08002B2CF9AE}" pid="20" name="DossierName">
    <vt:lpwstr>60;#ENVE-VII|6ee8e51f-c3cc-464b-aceb-beb6545d7e0a</vt:lpwstr>
  </property>
  <property fmtid="{D5CDD505-2E9C-101B-9397-08002B2CF9AE}" pid="21" name="DocumentSource">
    <vt:lpwstr>1;#CoR|cb2d75ef-4a7d-4393-b797-49ed6298a5ea</vt:lpwstr>
  </property>
  <property fmtid="{D5CDD505-2E9C-101B-9397-08002B2CF9AE}" pid="22" name="DocumentType">
    <vt:lpwstr>57;#DT|25c86c03-f029-4a57-bd6c-25106fad060c</vt:lpwstr>
  </property>
  <property fmtid="{D5CDD505-2E9C-101B-9397-08002B2CF9AE}" pid="23" name="RequestingService">
    <vt:lpwstr>Commission ENVE</vt:lpwstr>
  </property>
  <property fmtid="{D5CDD505-2E9C-101B-9397-08002B2CF9AE}" pid="24" name="Confidentiality">
    <vt:lpwstr>9;#Unrestricted|826e22d7-d029-4ec0-a450-0c28ff673572</vt:lpwstr>
  </property>
  <property fmtid="{D5CDD505-2E9C-101B-9397-08002B2CF9AE}" pid="25" name="MeetingName_0">
    <vt:lpwstr>ENVE-VII|5d1f267f-9c7e-4fe3-8e59-b8926529a13e</vt:lpwstr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8;#EN|f2175f21-25d7-44a3-96da-d6a61b075e1b</vt:lpwstr>
  </property>
  <property fmtid="{D5CDD505-2E9C-101B-9397-08002B2CF9AE}" pid="28" name="MeetingName">
    <vt:lpwstr>11;#ENVE-VII|5d1f267f-9c7e-4fe3-8e59-b8926529a13e</vt:lpwstr>
  </property>
  <property fmtid="{D5CDD505-2E9C-101B-9397-08002B2CF9AE}" pid="29" name="MeetingDate">
    <vt:filetime>2021-02-01T12:00:00Z</vt:filetime>
  </property>
  <property fmtid="{D5CDD505-2E9C-101B-9397-08002B2CF9AE}" pid="30" name="AvailableTranslations_0">
    <vt:lpwstr/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7;#English|bdbee8c7-072c-4a33-ae34-5b1e06637655</vt:lpwstr>
  </property>
  <property fmtid="{D5CDD505-2E9C-101B-9397-08002B2CF9AE}" pid="34" name="Rapporteur">
    <vt:lpwstr>NOHRÈN</vt:lpwstr>
  </property>
  <property fmtid="{D5CDD505-2E9C-101B-9397-08002B2CF9AE}" pid="35" name="VersionStatus_0">
    <vt:lpwstr>Final|ea5e6674-7b27-4bac-b091-73adbb394efe</vt:lpwstr>
  </property>
  <property fmtid="{D5CDD505-2E9C-101B-9397-08002B2CF9AE}" pid="36" name="VersionStatus">
    <vt:lpwstr>6;#Final|ea5e6674-7b27-4bac-b091-73adbb394efe</vt:lpwstr>
  </property>
  <property fmtid="{D5CDD505-2E9C-101B-9397-08002B2CF9AE}" pid="37" name="DocumentYear">
    <vt:i4>2021</vt:i4>
  </property>
  <property fmtid="{D5CDD505-2E9C-101B-9397-08002B2CF9AE}" pid="38" name="FicheNumber">
    <vt:i4>1118</vt:i4>
  </property>
  <property fmtid="{D5CDD505-2E9C-101B-9397-08002B2CF9AE}" pid="39" name="DocumentLanguage">
    <vt:lpwstr>8;#EN|f2175f21-25d7-44a3-96da-d6a61b075e1b</vt:lpwstr>
  </property>
  <property fmtid="{D5CDD505-2E9C-101B-9397-08002B2CF9AE}" pid="40" name="_docset_NoMedatataSyncRequired">
    <vt:lpwstr>False</vt:lpwstr>
  </property>
  <property fmtid="{D5CDD505-2E9C-101B-9397-08002B2CF9AE}" pid="41" name="p2fcf63a50b541b9841bb70f49df3317">
    <vt:lpwstr>English|bdbee8c7-072c-4a33-ae34-5b1e06637655</vt:lpwstr>
  </property>
  <property fmtid="{D5CDD505-2E9C-101B-9397-08002B2CF9AE}" pid="42" name="CoR_Language">
    <vt:lpwstr>7;#English|bdbee8c7-072c-4a33-ae34-5b1e06637655</vt:lpwstr>
  </property>
</Properties>
</file>